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A4217" w14:textId="77777777" w:rsidR="008658C4" w:rsidRPr="00871AF8" w:rsidRDefault="008658C4" w:rsidP="008658C4">
      <w:pPr>
        <w:pStyle w:val="Bezproreda"/>
        <w:spacing w:before="120" w:line="276" w:lineRule="auto"/>
        <w:rPr>
          <w:rFonts w:cs="Calibri"/>
          <w:sz w:val="24"/>
          <w:szCs w:val="24"/>
        </w:rPr>
      </w:pPr>
      <w:r w:rsidRPr="00871AF8">
        <w:rPr>
          <w:rFonts w:cs="Calibri"/>
          <w:sz w:val="24"/>
          <w:szCs w:val="24"/>
        </w:rPr>
        <w:t>23. travnja 2025.</w:t>
      </w:r>
      <w:r w:rsidRPr="00871AF8">
        <w:rPr>
          <w:rFonts w:cs="Calibri"/>
          <w:sz w:val="24"/>
          <w:szCs w:val="24"/>
        </w:rPr>
        <w:tab/>
      </w:r>
      <w:r w:rsidRPr="00871AF8">
        <w:rPr>
          <w:rFonts w:cs="Calibri"/>
          <w:sz w:val="24"/>
          <w:szCs w:val="24"/>
        </w:rPr>
        <w:tab/>
      </w:r>
      <w:r w:rsidRPr="00871AF8">
        <w:rPr>
          <w:rFonts w:cs="Calibri"/>
          <w:sz w:val="24"/>
          <w:szCs w:val="24"/>
        </w:rPr>
        <w:tab/>
      </w:r>
      <w:r w:rsidRPr="00871AF8">
        <w:rPr>
          <w:rFonts w:cs="Calibri"/>
          <w:sz w:val="24"/>
          <w:szCs w:val="24"/>
        </w:rPr>
        <w:tab/>
      </w:r>
      <w:r w:rsidRPr="00871AF8">
        <w:rPr>
          <w:rFonts w:cs="Calibri"/>
          <w:sz w:val="24"/>
          <w:szCs w:val="24"/>
        </w:rPr>
        <w:tab/>
      </w:r>
      <w:r w:rsidRPr="00871AF8">
        <w:rPr>
          <w:rFonts w:cs="Calibri"/>
          <w:sz w:val="24"/>
          <w:szCs w:val="24"/>
        </w:rPr>
        <w:tab/>
      </w:r>
      <w:r w:rsidRPr="00871AF8">
        <w:rPr>
          <w:rFonts w:cs="Calibri"/>
          <w:sz w:val="24"/>
          <w:szCs w:val="24"/>
        </w:rPr>
        <w:tab/>
      </w:r>
      <w:r w:rsidRPr="00871AF8">
        <w:rPr>
          <w:rFonts w:cs="Calibri"/>
          <w:sz w:val="24"/>
          <w:szCs w:val="24"/>
        </w:rPr>
        <w:tab/>
      </w:r>
      <w:r w:rsidRPr="00871AF8">
        <w:rPr>
          <w:rFonts w:cs="Calibri"/>
          <w:sz w:val="24"/>
          <w:szCs w:val="24"/>
        </w:rPr>
        <w:tab/>
        <w:t xml:space="preserve">    60. sjednica</w:t>
      </w:r>
    </w:p>
    <w:p w14:paraId="7826516E" w14:textId="77777777" w:rsidR="008658C4" w:rsidRPr="00871AF8" w:rsidRDefault="008658C4" w:rsidP="008658C4">
      <w:pPr>
        <w:pStyle w:val="Bezproreda"/>
        <w:spacing w:before="120" w:line="276" w:lineRule="auto"/>
        <w:rPr>
          <w:rFonts w:cs="Calibri"/>
          <w:sz w:val="24"/>
          <w:szCs w:val="24"/>
        </w:rPr>
      </w:pPr>
      <w:r w:rsidRPr="00871AF8">
        <w:rPr>
          <w:rFonts w:cs="Calibri"/>
          <w:sz w:val="24"/>
          <w:szCs w:val="24"/>
        </w:rPr>
        <w:t xml:space="preserve">Upravno vijeće </w:t>
      </w:r>
      <w:r w:rsidRPr="00871AF8">
        <w:rPr>
          <w:rFonts w:cs="Calibri"/>
          <w:sz w:val="24"/>
          <w:szCs w:val="24"/>
        </w:rPr>
        <w:tab/>
      </w:r>
      <w:r w:rsidRPr="00871AF8">
        <w:rPr>
          <w:rFonts w:cs="Calibri"/>
          <w:sz w:val="24"/>
          <w:szCs w:val="24"/>
        </w:rPr>
        <w:tab/>
      </w:r>
      <w:r w:rsidRPr="00871AF8">
        <w:rPr>
          <w:rFonts w:cs="Calibri"/>
          <w:sz w:val="24"/>
          <w:szCs w:val="24"/>
        </w:rPr>
        <w:tab/>
      </w:r>
      <w:r w:rsidRPr="00871AF8">
        <w:rPr>
          <w:rFonts w:cs="Calibri"/>
          <w:sz w:val="24"/>
          <w:szCs w:val="24"/>
        </w:rPr>
        <w:tab/>
      </w:r>
      <w:r w:rsidRPr="00871AF8">
        <w:rPr>
          <w:rFonts w:cs="Calibri"/>
          <w:sz w:val="24"/>
          <w:szCs w:val="24"/>
        </w:rPr>
        <w:tab/>
      </w:r>
      <w:r w:rsidRPr="00871AF8">
        <w:rPr>
          <w:rFonts w:cs="Calibri"/>
          <w:sz w:val="24"/>
          <w:szCs w:val="24"/>
        </w:rPr>
        <w:tab/>
      </w:r>
      <w:r w:rsidRPr="00871AF8">
        <w:rPr>
          <w:rFonts w:cs="Calibri"/>
          <w:sz w:val="24"/>
          <w:szCs w:val="24"/>
        </w:rPr>
        <w:tab/>
        <w:t xml:space="preserve">           Točka 3. dnevnog reda</w:t>
      </w:r>
    </w:p>
    <w:p w14:paraId="710EEA6F" w14:textId="77777777" w:rsidR="008658C4" w:rsidRPr="00871AF8" w:rsidRDefault="008658C4" w:rsidP="00AC2500">
      <w:pPr>
        <w:spacing w:before="360" w:after="240"/>
        <w:jc w:val="center"/>
        <w:rPr>
          <w:rFonts w:cs="Calibri"/>
          <w:b/>
          <w:sz w:val="24"/>
          <w:szCs w:val="24"/>
        </w:rPr>
      </w:pPr>
      <w:r w:rsidRPr="00871AF8">
        <w:rPr>
          <w:rFonts w:cs="Calibri"/>
          <w:b/>
          <w:sz w:val="24"/>
          <w:szCs w:val="24"/>
        </w:rPr>
        <w:t xml:space="preserve">PRIJEDLOG REBALANSA FINANCIJSKOG PLANA PRIHODA I RASHODA </w:t>
      </w:r>
      <w:r w:rsidRPr="00871AF8">
        <w:rPr>
          <w:rFonts w:cs="Calibri"/>
          <w:b/>
          <w:sz w:val="24"/>
          <w:szCs w:val="24"/>
        </w:rPr>
        <w:br/>
        <w:t>NASTAVNOG ZAVODA ZA JAVNO ZDRAVSTVO „DR. ANDRIJA ŠTAMPAR“</w:t>
      </w:r>
      <w:r w:rsidRPr="00871AF8">
        <w:rPr>
          <w:rFonts w:cs="Calibri"/>
          <w:b/>
          <w:sz w:val="24"/>
          <w:szCs w:val="24"/>
        </w:rPr>
        <w:br/>
        <w:t>ZA 2025. GODINU</w:t>
      </w:r>
    </w:p>
    <w:p w14:paraId="64449FBB" w14:textId="77777777" w:rsidR="008658C4" w:rsidRPr="00871AF8" w:rsidRDefault="008658C4" w:rsidP="00AC2500">
      <w:pPr>
        <w:spacing w:before="120" w:after="40" w:line="276" w:lineRule="auto"/>
        <w:contextualSpacing/>
        <w:jc w:val="both"/>
        <w:rPr>
          <w:rFonts w:cs="Calibri"/>
          <w:sz w:val="24"/>
          <w:szCs w:val="24"/>
        </w:rPr>
      </w:pPr>
      <w:r w:rsidRPr="00871AF8">
        <w:rPr>
          <w:rFonts w:cs="Calibri"/>
          <w:sz w:val="24"/>
          <w:szCs w:val="24"/>
        </w:rPr>
        <w:t xml:space="preserve">Dana 18. prosinca 2024. godine na 55. sjednici Upravnog vijeća donesen je Financijski plan prihoda i rashoda, Plan nabave materijala, energije i usluga i Plan nabave dugotrajne nefinancijske imovine za 2025. godinu. </w:t>
      </w:r>
    </w:p>
    <w:p w14:paraId="37B0A911" w14:textId="77777777" w:rsidR="008658C4" w:rsidRPr="00871AF8" w:rsidRDefault="008658C4" w:rsidP="00AC2500">
      <w:pPr>
        <w:spacing w:before="120" w:after="40" w:line="276" w:lineRule="auto"/>
        <w:contextualSpacing/>
        <w:jc w:val="both"/>
        <w:rPr>
          <w:rFonts w:cs="Calibri"/>
          <w:sz w:val="24"/>
          <w:szCs w:val="24"/>
        </w:rPr>
      </w:pPr>
      <w:r w:rsidRPr="00871AF8">
        <w:rPr>
          <w:rFonts w:cs="Calibri"/>
          <w:sz w:val="24"/>
          <w:szCs w:val="24"/>
        </w:rPr>
        <w:t>Poštujući načelo uravnoteženosti financijskoga plana predlažu se izmjene i dopune financijskog plana i iste su prikazane na računima iz računskog plana proračuna sukladno ekonomskoj klasifikaciji.</w:t>
      </w:r>
    </w:p>
    <w:p w14:paraId="0F52CCBE" w14:textId="77777777" w:rsidR="008658C4" w:rsidRPr="00871AF8" w:rsidRDefault="008658C4" w:rsidP="00AC2500">
      <w:pPr>
        <w:spacing w:before="120" w:after="40" w:line="276" w:lineRule="auto"/>
        <w:contextualSpacing/>
        <w:jc w:val="both"/>
        <w:rPr>
          <w:rFonts w:cs="Calibri"/>
          <w:sz w:val="24"/>
          <w:szCs w:val="24"/>
        </w:rPr>
      </w:pPr>
      <w:r w:rsidRPr="00871AF8">
        <w:rPr>
          <w:rFonts w:cs="Calibri"/>
          <w:sz w:val="24"/>
          <w:szCs w:val="24"/>
        </w:rPr>
        <w:t>Prijedlog rebalansa Nastavnog zavoda za javno zdravstvo „Dr. Andrija Štampar“ (u daljnjem tekstu Zavod) za 2025. godinu sadrži prijedloge rebalansa:</w:t>
      </w:r>
    </w:p>
    <w:p w14:paraId="76854726" w14:textId="77777777" w:rsidR="008658C4" w:rsidRPr="00871AF8" w:rsidRDefault="008658C4" w:rsidP="00AC2500">
      <w:pPr>
        <w:numPr>
          <w:ilvl w:val="0"/>
          <w:numId w:val="2"/>
        </w:numPr>
        <w:spacing w:before="120" w:after="40" w:line="276" w:lineRule="auto"/>
        <w:ind w:left="0" w:firstLine="0"/>
        <w:contextualSpacing/>
        <w:jc w:val="both"/>
        <w:rPr>
          <w:rFonts w:cs="Calibri"/>
          <w:sz w:val="24"/>
          <w:szCs w:val="24"/>
        </w:rPr>
      </w:pPr>
      <w:r w:rsidRPr="00871AF8">
        <w:rPr>
          <w:rFonts w:cs="Calibri"/>
          <w:sz w:val="24"/>
          <w:szCs w:val="24"/>
        </w:rPr>
        <w:t xml:space="preserve">financijskog plana prihoda i rashoda </w:t>
      </w:r>
    </w:p>
    <w:p w14:paraId="72076A7F" w14:textId="77777777" w:rsidR="008658C4" w:rsidRPr="00871AF8" w:rsidRDefault="008658C4" w:rsidP="00AC2500">
      <w:pPr>
        <w:numPr>
          <w:ilvl w:val="0"/>
          <w:numId w:val="2"/>
        </w:numPr>
        <w:spacing w:before="120" w:after="40" w:line="276" w:lineRule="auto"/>
        <w:ind w:left="0" w:firstLine="0"/>
        <w:contextualSpacing/>
        <w:jc w:val="both"/>
        <w:rPr>
          <w:rFonts w:cs="Calibri"/>
          <w:sz w:val="24"/>
          <w:szCs w:val="24"/>
        </w:rPr>
      </w:pPr>
      <w:r w:rsidRPr="00871AF8">
        <w:rPr>
          <w:rFonts w:cs="Calibri"/>
          <w:sz w:val="24"/>
          <w:szCs w:val="24"/>
        </w:rPr>
        <w:t xml:space="preserve">plana nabave materijala, energije i usluga </w:t>
      </w:r>
    </w:p>
    <w:p w14:paraId="218D8758" w14:textId="77777777" w:rsidR="008658C4" w:rsidRPr="00871AF8" w:rsidRDefault="008658C4" w:rsidP="00AC2500">
      <w:pPr>
        <w:numPr>
          <w:ilvl w:val="0"/>
          <w:numId w:val="2"/>
        </w:numPr>
        <w:spacing w:before="120" w:after="40" w:line="276" w:lineRule="auto"/>
        <w:ind w:left="0" w:firstLine="0"/>
        <w:contextualSpacing/>
        <w:jc w:val="both"/>
        <w:rPr>
          <w:rFonts w:cs="Calibri"/>
          <w:b/>
          <w:sz w:val="24"/>
          <w:szCs w:val="24"/>
        </w:rPr>
      </w:pPr>
      <w:r w:rsidRPr="00871AF8">
        <w:rPr>
          <w:rFonts w:cs="Calibri"/>
          <w:sz w:val="24"/>
          <w:szCs w:val="24"/>
        </w:rPr>
        <w:t xml:space="preserve">plana nabave dugotrajne nefinancijske imovine </w:t>
      </w:r>
    </w:p>
    <w:p w14:paraId="4D8E0286" w14:textId="77777777" w:rsidR="008658C4" w:rsidRPr="00871AF8" w:rsidRDefault="008658C4" w:rsidP="00AC2500">
      <w:pPr>
        <w:shd w:val="clear" w:color="auto" w:fill="F8EFFF"/>
        <w:spacing w:before="360" w:after="240" w:line="264" w:lineRule="auto"/>
        <w:rPr>
          <w:rFonts w:cs="Calibri"/>
          <w:b/>
          <w:sz w:val="24"/>
          <w:szCs w:val="24"/>
        </w:rPr>
      </w:pPr>
      <w:r w:rsidRPr="00871AF8">
        <w:rPr>
          <w:rFonts w:cs="Calibri"/>
          <w:b/>
          <w:sz w:val="24"/>
          <w:szCs w:val="24"/>
        </w:rPr>
        <w:t xml:space="preserve">REBALANS PLANA PRIHODA POSLOVANJA ZA 2025. GODINU </w:t>
      </w:r>
    </w:p>
    <w:p w14:paraId="5C03BA6D" w14:textId="77777777" w:rsidR="008658C4" w:rsidRPr="00871AF8" w:rsidRDefault="008658C4" w:rsidP="00AC2500">
      <w:pPr>
        <w:spacing w:before="120" w:after="40" w:line="276" w:lineRule="auto"/>
        <w:contextualSpacing/>
        <w:rPr>
          <w:rFonts w:cs="Calibri"/>
          <w:sz w:val="24"/>
          <w:szCs w:val="24"/>
        </w:rPr>
      </w:pPr>
      <w:r w:rsidRPr="00871AF8">
        <w:rPr>
          <w:rFonts w:cs="Calibri"/>
          <w:sz w:val="24"/>
          <w:szCs w:val="24"/>
        </w:rPr>
        <w:t xml:space="preserve">Prema prijedlogu Rebalansa plana prihoda poslovanja planira se godišnje ostvarenje prihoda poslovanja u iznosu 25.980.700,00 EUR što je za 1.010.000,00 EUR ili 4,04 % više u odnosu usvojeni plan. </w:t>
      </w:r>
    </w:p>
    <w:p w14:paraId="1613C915" w14:textId="77777777" w:rsidR="008658C4" w:rsidRPr="00871AF8" w:rsidRDefault="008658C4" w:rsidP="00AC2500">
      <w:pPr>
        <w:spacing w:before="120" w:after="40" w:line="276" w:lineRule="auto"/>
        <w:contextualSpacing/>
        <w:rPr>
          <w:rFonts w:cs="Calibri"/>
          <w:sz w:val="24"/>
          <w:szCs w:val="24"/>
        </w:rPr>
      </w:pPr>
      <w:r w:rsidRPr="00871AF8">
        <w:rPr>
          <w:rFonts w:cs="Calibri"/>
          <w:sz w:val="24"/>
          <w:szCs w:val="24"/>
        </w:rPr>
        <w:t>Izmjene plana prihoda poslovanja predlažu se na sljedećim računima:</w:t>
      </w:r>
    </w:p>
    <w:p w14:paraId="1015EA2C" w14:textId="77777777" w:rsidR="008658C4" w:rsidRPr="00871AF8" w:rsidRDefault="008658C4" w:rsidP="00AC2500">
      <w:pPr>
        <w:shd w:val="clear" w:color="auto" w:fill="D8E0F8"/>
        <w:spacing w:before="240" w:after="120" w:line="264" w:lineRule="auto"/>
        <w:rPr>
          <w:rFonts w:cs="Calibri"/>
          <w:b/>
          <w:bCs/>
          <w:sz w:val="24"/>
          <w:szCs w:val="24"/>
        </w:rPr>
      </w:pPr>
      <w:r w:rsidRPr="00871AF8">
        <w:rPr>
          <w:rFonts w:cs="Calibri"/>
          <w:b/>
          <w:bCs/>
          <w:sz w:val="24"/>
          <w:szCs w:val="24"/>
        </w:rPr>
        <w:t>6615 - Prihodi od pruženih usluga</w:t>
      </w:r>
    </w:p>
    <w:p w14:paraId="33C54EA9" w14:textId="77777777" w:rsidR="008658C4" w:rsidRPr="00871AF8" w:rsidRDefault="008658C4" w:rsidP="00AC2500">
      <w:pPr>
        <w:spacing w:before="120" w:after="40" w:line="276" w:lineRule="auto"/>
        <w:contextualSpacing/>
        <w:rPr>
          <w:rFonts w:cs="Calibri"/>
          <w:sz w:val="24"/>
          <w:szCs w:val="24"/>
        </w:rPr>
      </w:pPr>
      <w:r w:rsidRPr="00871AF8">
        <w:rPr>
          <w:rFonts w:cs="Calibri"/>
          <w:sz w:val="24"/>
          <w:szCs w:val="24"/>
        </w:rPr>
        <w:t>Prema prijedlogu Rebalansa plana prihoda poslovanja iznos prihoda od pruženih usluga za 2025. godinu iznosi 6.565.000,00 EUR, što je za 265.000,00 EUR ili 4,21 % više u odnosu na prvotni plan.</w:t>
      </w:r>
    </w:p>
    <w:p w14:paraId="33677779" w14:textId="77777777" w:rsidR="008658C4" w:rsidRPr="00871AF8" w:rsidRDefault="008658C4" w:rsidP="00AC2500">
      <w:pPr>
        <w:shd w:val="clear" w:color="auto" w:fill="D8E0F8"/>
        <w:spacing w:before="240" w:after="120" w:line="264" w:lineRule="auto"/>
        <w:rPr>
          <w:rFonts w:cs="Calibri"/>
          <w:b/>
          <w:bCs/>
          <w:sz w:val="24"/>
          <w:szCs w:val="24"/>
        </w:rPr>
      </w:pPr>
      <w:r w:rsidRPr="00871AF8">
        <w:rPr>
          <w:rFonts w:cs="Calibri"/>
          <w:b/>
          <w:bCs/>
          <w:sz w:val="24"/>
          <w:szCs w:val="24"/>
        </w:rPr>
        <w:t>6371 -Prihodi od HZZO-a na temelju ugovornih obveza</w:t>
      </w:r>
    </w:p>
    <w:p w14:paraId="235F1AC6" w14:textId="77777777" w:rsidR="008658C4" w:rsidRPr="00871AF8" w:rsidRDefault="008658C4" w:rsidP="00AC2500">
      <w:pPr>
        <w:spacing w:before="120" w:after="40" w:line="276" w:lineRule="auto"/>
        <w:contextualSpacing/>
        <w:rPr>
          <w:rFonts w:cs="Calibri"/>
          <w:sz w:val="24"/>
          <w:szCs w:val="24"/>
        </w:rPr>
      </w:pPr>
      <w:r w:rsidRPr="00871AF8">
        <w:rPr>
          <w:rFonts w:cs="Calibri"/>
          <w:sz w:val="24"/>
          <w:szCs w:val="24"/>
        </w:rPr>
        <w:t xml:space="preserve">Prijedlogom rebalansa predlaže se ostvarenje prihoda od HZZO-a temeljem ugovornih obveza u iznosu od 12.895.000,00 što je za 745.000,00 ili 6,13 % više u odnosu na prethodno usvojeni plan. U 2025. godini planira se povećanje prihoda na temelju ugovorih obveza radi usklađenja vrijednosti zdravstvene zaštite s povećanjem osnovice za obračun plaća. </w:t>
      </w:r>
    </w:p>
    <w:p w14:paraId="1292F227" w14:textId="77777777" w:rsidR="008658C4" w:rsidRPr="00871AF8" w:rsidRDefault="008658C4" w:rsidP="00AC2500">
      <w:pPr>
        <w:spacing w:before="80" w:afterLines="40" w:after="96" w:line="264" w:lineRule="auto"/>
        <w:contextualSpacing/>
        <w:rPr>
          <w:rFonts w:cs="Calibri"/>
          <w:sz w:val="24"/>
          <w:szCs w:val="24"/>
        </w:rPr>
      </w:pPr>
      <w:r w:rsidRPr="00871AF8">
        <w:rPr>
          <w:rFonts w:cs="Calibri"/>
          <w:sz w:val="24"/>
          <w:szCs w:val="24"/>
        </w:rPr>
        <w:br w:type="page"/>
      </w:r>
      <w:r w:rsidRPr="00871AF8">
        <w:rPr>
          <w:rFonts w:cs="Calibri"/>
          <w:sz w:val="24"/>
          <w:szCs w:val="24"/>
        </w:rPr>
        <w:lastRenderedPageBreak/>
        <w:t>Struktura planiranih prihoda na temelju ugovornih obveza daje se u nastavku:</w:t>
      </w:r>
    </w:p>
    <w:p w14:paraId="2A607BF0" w14:textId="77777777" w:rsidR="008658C4" w:rsidRPr="00871AF8" w:rsidRDefault="008658C4" w:rsidP="00AC2500">
      <w:pPr>
        <w:numPr>
          <w:ilvl w:val="0"/>
          <w:numId w:val="4"/>
        </w:numPr>
        <w:spacing w:before="80" w:afterLines="40" w:after="96" w:line="264" w:lineRule="auto"/>
        <w:ind w:left="426"/>
        <w:contextualSpacing/>
        <w:jc w:val="both"/>
        <w:rPr>
          <w:rFonts w:cs="Calibri"/>
          <w:sz w:val="24"/>
          <w:szCs w:val="24"/>
        </w:rPr>
      </w:pPr>
      <w:r w:rsidRPr="00871AF8">
        <w:rPr>
          <w:rFonts w:cs="Calibri"/>
          <w:sz w:val="24"/>
          <w:szCs w:val="24"/>
        </w:rPr>
        <w:t>prihod na temelju ugovora o provođenju primarne zdravstvene zaštite iz obveznog zdravstvenog osiguranja planiran je iznosu 9.245.000,00 EUR</w:t>
      </w:r>
    </w:p>
    <w:p w14:paraId="527F81C0" w14:textId="77777777" w:rsidR="008658C4" w:rsidRPr="00871AF8" w:rsidRDefault="008658C4" w:rsidP="00AC2500">
      <w:pPr>
        <w:numPr>
          <w:ilvl w:val="0"/>
          <w:numId w:val="4"/>
        </w:numPr>
        <w:spacing w:before="80" w:afterLines="40" w:after="96" w:line="264" w:lineRule="auto"/>
        <w:ind w:left="426"/>
        <w:contextualSpacing/>
        <w:jc w:val="both"/>
        <w:rPr>
          <w:rFonts w:cs="Calibri"/>
          <w:sz w:val="24"/>
          <w:szCs w:val="24"/>
        </w:rPr>
      </w:pPr>
      <w:r w:rsidRPr="00871AF8">
        <w:rPr>
          <w:rFonts w:cs="Calibri"/>
          <w:sz w:val="24"/>
          <w:szCs w:val="24"/>
        </w:rPr>
        <w:t>prihod na temelju ugovora o pružanju specijalističko dijagnostičke zdravstvene zaštite planiran je iznosu 3.500.000,00 EUR</w:t>
      </w:r>
    </w:p>
    <w:p w14:paraId="00A17B3F" w14:textId="77777777" w:rsidR="008658C4" w:rsidRPr="00871AF8" w:rsidRDefault="008658C4" w:rsidP="00AC2500">
      <w:pPr>
        <w:numPr>
          <w:ilvl w:val="0"/>
          <w:numId w:val="4"/>
        </w:numPr>
        <w:spacing w:before="80" w:afterLines="40" w:after="96" w:line="264" w:lineRule="auto"/>
        <w:ind w:left="426"/>
        <w:contextualSpacing/>
        <w:jc w:val="both"/>
        <w:rPr>
          <w:rFonts w:cs="Calibri"/>
          <w:sz w:val="24"/>
          <w:szCs w:val="24"/>
        </w:rPr>
      </w:pPr>
      <w:r w:rsidRPr="00871AF8">
        <w:rPr>
          <w:rFonts w:cs="Calibri"/>
          <w:sz w:val="24"/>
          <w:szCs w:val="24"/>
        </w:rPr>
        <w:t>prihod na temelju ugovora o provođenju Nacionalnog programa ranog otkrivanja raka dojke planiran je iznosu 150.000,00 EUR</w:t>
      </w:r>
    </w:p>
    <w:p w14:paraId="4E01C0DB" w14:textId="77777777" w:rsidR="008658C4" w:rsidRPr="00871AF8" w:rsidRDefault="008658C4" w:rsidP="00AC2500">
      <w:pPr>
        <w:shd w:val="clear" w:color="auto" w:fill="F8EFFF"/>
        <w:spacing w:before="360" w:after="240" w:line="264" w:lineRule="auto"/>
        <w:rPr>
          <w:rFonts w:cs="Calibri"/>
          <w:b/>
          <w:bCs/>
          <w:sz w:val="24"/>
          <w:szCs w:val="24"/>
        </w:rPr>
      </w:pPr>
      <w:r w:rsidRPr="00871AF8">
        <w:rPr>
          <w:rFonts w:cs="Calibri"/>
          <w:b/>
          <w:bCs/>
          <w:sz w:val="24"/>
          <w:szCs w:val="24"/>
        </w:rPr>
        <w:t>REBALANS PLANA RASHODA POSLOVANJA ZA 2025. GODINU I OBRAZLOŽENJE</w:t>
      </w:r>
    </w:p>
    <w:p w14:paraId="34506867" w14:textId="77777777" w:rsidR="008658C4" w:rsidRPr="00871AF8" w:rsidRDefault="008658C4" w:rsidP="00AC2500">
      <w:pPr>
        <w:spacing w:before="120" w:after="40" w:line="276" w:lineRule="auto"/>
        <w:contextualSpacing/>
        <w:jc w:val="both"/>
        <w:rPr>
          <w:rFonts w:cs="Calibri"/>
          <w:sz w:val="24"/>
          <w:szCs w:val="24"/>
        </w:rPr>
      </w:pPr>
      <w:r w:rsidRPr="00871AF8">
        <w:rPr>
          <w:rFonts w:cs="Calibri"/>
          <w:sz w:val="24"/>
          <w:szCs w:val="24"/>
        </w:rPr>
        <w:t>Prema prijedlogu rebalansa plana rashoda poslovanja planira se godišnje ostvarenje rashoda poslovanja u iznosu 26.785.612,00 EUR. Taj iznos veći je za 772.272,00 EUR ili 2,97 % u odnosu na usvojeni plan za 2024. godinu.</w:t>
      </w:r>
    </w:p>
    <w:p w14:paraId="0BC20A5E" w14:textId="77777777" w:rsidR="008658C4" w:rsidRPr="00871AF8" w:rsidRDefault="008658C4" w:rsidP="00AC2500">
      <w:pPr>
        <w:spacing w:before="120" w:after="40" w:line="276" w:lineRule="auto"/>
        <w:contextualSpacing/>
        <w:jc w:val="both"/>
        <w:rPr>
          <w:rFonts w:cs="Calibri"/>
          <w:sz w:val="24"/>
          <w:szCs w:val="24"/>
        </w:rPr>
      </w:pPr>
      <w:r w:rsidRPr="00871AF8">
        <w:rPr>
          <w:rFonts w:cs="Calibri"/>
          <w:sz w:val="24"/>
          <w:szCs w:val="24"/>
        </w:rPr>
        <w:t>Rebalans plana predlaže se radi:</w:t>
      </w:r>
    </w:p>
    <w:p w14:paraId="2E146E8C" w14:textId="77777777" w:rsidR="008658C4" w:rsidRPr="00871AF8" w:rsidRDefault="008658C4" w:rsidP="00AC2500">
      <w:pPr>
        <w:numPr>
          <w:ilvl w:val="0"/>
          <w:numId w:val="5"/>
        </w:numPr>
        <w:spacing w:before="120" w:after="40" w:line="276" w:lineRule="auto"/>
        <w:contextualSpacing/>
        <w:jc w:val="both"/>
        <w:rPr>
          <w:rFonts w:cs="Calibri"/>
          <w:sz w:val="24"/>
          <w:szCs w:val="24"/>
        </w:rPr>
      </w:pPr>
      <w:r w:rsidRPr="00871AF8">
        <w:rPr>
          <w:rFonts w:cs="Calibri"/>
          <w:sz w:val="24"/>
          <w:szCs w:val="24"/>
        </w:rPr>
        <w:t>povećanja osnovice za obračun plaća</w:t>
      </w:r>
    </w:p>
    <w:p w14:paraId="60E1C5C0" w14:textId="77777777" w:rsidR="008658C4" w:rsidRPr="00871AF8" w:rsidRDefault="008658C4" w:rsidP="00AC2500">
      <w:pPr>
        <w:numPr>
          <w:ilvl w:val="0"/>
          <w:numId w:val="5"/>
        </w:numPr>
        <w:spacing w:before="120" w:after="40" w:line="276" w:lineRule="auto"/>
        <w:contextualSpacing/>
        <w:jc w:val="both"/>
        <w:rPr>
          <w:rFonts w:cs="Calibri"/>
          <w:sz w:val="24"/>
          <w:szCs w:val="24"/>
        </w:rPr>
      </w:pPr>
      <w:r w:rsidRPr="00871AF8">
        <w:rPr>
          <w:rFonts w:cs="Calibri"/>
          <w:sz w:val="24"/>
          <w:szCs w:val="24"/>
        </w:rPr>
        <w:t xml:space="preserve">izmjene plana nabave materijala energije i usluga </w:t>
      </w:r>
    </w:p>
    <w:p w14:paraId="506C4F3C" w14:textId="77777777" w:rsidR="008658C4" w:rsidRPr="00871AF8" w:rsidRDefault="008658C4" w:rsidP="00AC2500">
      <w:pPr>
        <w:numPr>
          <w:ilvl w:val="0"/>
          <w:numId w:val="5"/>
        </w:numPr>
        <w:spacing w:before="120" w:after="40" w:line="276" w:lineRule="auto"/>
        <w:contextualSpacing/>
        <w:jc w:val="both"/>
        <w:rPr>
          <w:rFonts w:cs="Calibri"/>
          <w:sz w:val="24"/>
          <w:szCs w:val="24"/>
        </w:rPr>
      </w:pPr>
      <w:r w:rsidRPr="00871AF8">
        <w:rPr>
          <w:rFonts w:cs="Calibri"/>
          <w:sz w:val="24"/>
          <w:szCs w:val="24"/>
        </w:rPr>
        <w:t>promjene pro rata stope prava na odbitak pretporeza</w:t>
      </w:r>
    </w:p>
    <w:p w14:paraId="66288DA2" w14:textId="77777777" w:rsidR="008658C4" w:rsidRPr="00871AF8" w:rsidRDefault="008658C4" w:rsidP="00AC2500">
      <w:pPr>
        <w:shd w:val="clear" w:color="auto" w:fill="D8E0F8"/>
        <w:spacing w:before="240" w:after="120" w:line="264" w:lineRule="auto"/>
        <w:rPr>
          <w:rFonts w:cs="Calibri"/>
          <w:b/>
          <w:bCs/>
          <w:sz w:val="24"/>
          <w:szCs w:val="24"/>
        </w:rPr>
      </w:pPr>
      <w:r w:rsidRPr="00871AF8">
        <w:rPr>
          <w:rFonts w:cs="Calibri"/>
          <w:b/>
          <w:bCs/>
          <w:sz w:val="24"/>
          <w:szCs w:val="24"/>
        </w:rPr>
        <w:t>31- Rashodi za zaposlene</w:t>
      </w:r>
    </w:p>
    <w:p w14:paraId="43D59B36" w14:textId="77777777" w:rsidR="0085408E" w:rsidRDefault="008658C4" w:rsidP="00AC2500">
      <w:pPr>
        <w:spacing w:before="120" w:after="40" w:line="276" w:lineRule="auto"/>
        <w:contextualSpacing/>
        <w:jc w:val="both"/>
        <w:rPr>
          <w:rFonts w:eastAsia="Times New Roman" w:cs="Calibri"/>
          <w:sz w:val="24"/>
          <w:szCs w:val="24"/>
          <w:lang w:eastAsia="hr-HR"/>
        </w:rPr>
      </w:pPr>
      <w:r w:rsidRPr="00871AF8">
        <w:rPr>
          <w:rFonts w:eastAsia="Times New Roman" w:cs="Calibri"/>
          <w:sz w:val="24"/>
          <w:szCs w:val="24"/>
          <w:lang w:eastAsia="hr-HR"/>
        </w:rPr>
        <w:t xml:space="preserve">Vlada Republike Hrvatske je na sjednici održanoj 31. prosinca 2024. donijela je Odluku o visini osnovice za obračun plaće u javnim službama u 2025. godini. Odlukom je određeno da će osnovica izračun plaće iznositi: od 1. siječnja 2025. do 31. siječnja 2025. godine 947,18 eura bruto, od 1. veljače 2025. do 31. kolovoza 2025. godine 975,60 eura bruto i od 1. rujna 2025. godine pa nadalje 1.004,87 eura bruto. </w:t>
      </w:r>
    </w:p>
    <w:p w14:paraId="3CCE5BB7" w14:textId="5948403F" w:rsidR="008658C4" w:rsidRPr="00871AF8" w:rsidRDefault="008658C4" w:rsidP="00AC2500">
      <w:pPr>
        <w:spacing w:before="120" w:after="40" w:line="276" w:lineRule="auto"/>
        <w:contextualSpacing/>
        <w:jc w:val="both"/>
        <w:rPr>
          <w:rFonts w:eastAsia="Times New Roman" w:cs="Calibri"/>
          <w:sz w:val="24"/>
          <w:szCs w:val="24"/>
          <w:lang w:eastAsia="hr-HR"/>
        </w:rPr>
      </w:pPr>
      <w:r w:rsidRPr="00871AF8">
        <w:rPr>
          <w:rFonts w:eastAsia="Times New Roman" w:cs="Calibri"/>
          <w:sz w:val="24"/>
          <w:szCs w:val="24"/>
          <w:lang w:eastAsia="hr-HR"/>
        </w:rPr>
        <w:t>Radi navedenih povećanja osnovice za obračun plaća u plaću je potrebno osigurati dodatna sredstva u iznosu 350.000,00 EUR na računu 31111 – Plaće za zaposlene i  50.000,00 EUR na računu 31321 - Doprinosi za obvezno zdravstveno osiguranje.</w:t>
      </w:r>
    </w:p>
    <w:p w14:paraId="53A1497B" w14:textId="77777777" w:rsidR="008658C4" w:rsidRPr="00871AF8" w:rsidRDefault="008658C4" w:rsidP="00AC2500">
      <w:pPr>
        <w:shd w:val="clear" w:color="auto" w:fill="D8E0F8"/>
        <w:spacing w:before="240" w:after="120" w:line="264" w:lineRule="auto"/>
        <w:rPr>
          <w:rFonts w:cs="Calibri"/>
          <w:b/>
          <w:bCs/>
          <w:sz w:val="24"/>
          <w:szCs w:val="24"/>
        </w:rPr>
      </w:pPr>
      <w:r w:rsidRPr="00871AF8">
        <w:rPr>
          <w:rFonts w:cs="Calibri"/>
          <w:b/>
          <w:bCs/>
          <w:sz w:val="24"/>
          <w:szCs w:val="24"/>
        </w:rPr>
        <w:t xml:space="preserve">32 – Materijalni rashodi </w:t>
      </w:r>
    </w:p>
    <w:p w14:paraId="6D8CD0E4" w14:textId="77777777" w:rsidR="008658C4" w:rsidRDefault="008658C4" w:rsidP="00AC2500">
      <w:pPr>
        <w:spacing w:before="120" w:after="40" w:line="276" w:lineRule="auto"/>
        <w:contextualSpacing/>
        <w:jc w:val="both"/>
        <w:rPr>
          <w:rFonts w:cs="Calibri"/>
          <w:sz w:val="24"/>
          <w:szCs w:val="24"/>
        </w:rPr>
      </w:pPr>
      <w:r w:rsidRPr="00871AF8">
        <w:rPr>
          <w:rFonts w:cs="Calibri"/>
          <w:sz w:val="24"/>
          <w:szCs w:val="24"/>
        </w:rPr>
        <w:t>Prema prijedlogu rebalansa plana rashoda poslovanja planira se godišnje ostvarenje materijalnih rashoda u iznosu 11.353.762 EUR. Taj iznos veći je za 290.740,00 EUR ili 3,20 % u odnosu na ranije usvojeni plan za 2025. godinu.</w:t>
      </w:r>
    </w:p>
    <w:p w14:paraId="483CBF08" w14:textId="77777777" w:rsidR="00AC2500" w:rsidRPr="00871AF8" w:rsidRDefault="00AC2500" w:rsidP="00AC2500">
      <w:pPr>
        <w:spacing w:before="120" w:after="40" w:line="276" w:lineRule="auto"/>
        <w:contextualSpacing/>
        <w:jc w:val="both"/>
        <w:rPr>
          <w:rFonts w:cs="Calibri"/>
          <w:sz w:val="24"/>
          <w:szCs w:val="24"/>
        </w:rPr>
      </w:pPr>
    </w:p>
    <w:p w14:paraId="4E36B988" w14:textId="77777777" w:rsidR="008658C4" w:rsidRPr="00871AF8" w:rsidRDefault="008658C4" w:rsidP="00AC2500">
      <w:pPr>
        <w:spacing w:before="120" w:after="40" w:line="276" w:lineRule="auto"/>
        <w:contextualSpacing/>
        <w:jc w:val="both"/>
        <w:rPr>
          <w:rFonts w:cs="Calibri"/>
          <w:sz w:val="24"/>
          <w:szCs w:val="24"/>
        </w:rPr>
      </w:pPr>
      <w:r w:rsidRPr="00871AF8">
        <w:rPr>
          <w:rFonts w:cs="Calibri"/>
          <w:sz w:val="24"/>
          <w:szCs w:val="24"/>
        </w:rPr>
        <w:t xml:space="preserve">Izmjene financijskog plana rashoda poslovanja predlažu se na računima 32 – Materijalni rashodi u dijelu rashoda za uredski materijal i ostale materijalne rashode; materijal i sirovine; energiju; materijal i dijelove za tekuće i investicijsko održavanje; sitni inventar i auto gume; službenu, radnu i zaštitnu odjeću i obuću; usluge telefona, pošte i prijevoza; usluge tekućeg i investicijskog održavanja; usluge promidžbe i informiranja; komunalne usluge; zdravstvene usluge; računalne </w:t>
      </w:r>
      <w:r w:rsidRPr="00871AF8">
        <w:rPr>
          <w:rFonts w:cs="Calibri"/>
          <w:sz w:val="24"/>
          <w:szCs w:val="24"/>
        </w:rPr>
        <w:lastRenderedPageBreak/>
        <w:t xml:space="preserve">usluge, utrošak lijekova i potrošnog medicinskog materijala i ostale usluge i rezultat su izmjena i dopuna plana nabave materijala, energije i usluga. </w:t>
      </w:r>
    </w:p>
    <w:p w14:paraId="2478763E" w14:textId="77777777" w:rsidR="008658C4" w:rsidRDefault="008658C4" w:rsidP="00AC2500">
      <w:pPr>
        <w:spacing w:before="120" w:after="40" w:line="276" w:lineRule="auto"/>
        <w:contextualSpacing/>
        <w:jc w:val="both"/>
        <w:rPr>
          <w:rFonts w:cs="Calibri"/>
          <w:sz w:val="24"/>
          <w:szCs w:val="24"/>
        </w:rPr>
      </w:pPr>
      <w:r w:rsidRPr="00871AF8">
        <w:rPr>
          <w:rFonts w:cs="Calibri"/>
          <w:sz w:val="24"/>
          <w:szCs w:val="24"/>
        </w:rPr>
        <w:t>Trošak predloženih izmjena plana nabave materijala, energije i usluga manji je za 157.542,00 EUR u odnosu na prvotno usvojeni plan nabave.</w:t>
      </w:r>
    </w:p>
    <w:p w14:paraId="189DEE98" w14:textId="77777777" w:rsidR="00AC2500" w:rsidRPr="00871AF8" w:rsidRDefault="00AC2500" w:rsidP="00AC2500">
      <w:pPr>
        <w:spacing w:before="120" w:after="40" w:line="276" w:lineRule="auto"/>
        <w:contextualSpacing/>
        <w:jc w:val="both"/>
        <w:rPr>
          <w:rFonts w:cs="Calibri"/>
          <w:sz w:val="24"/>
          <w:szCs w:val="24"/>
        </w:rPr>
      </w:pPr>
    </w:p>
    <w:p w14:paraId="3C5CE837" w14:textId="77777777" w:rsidR="008658C4" w:rsidRDefault="008658C4" w:rsidP="00AC2500">
      <w:pPr>
        <w:spacing w:before="120" w:after="40" w:line="276" w:lineRule="auto"/>
        <w:contextualSpacing/>
        <w:jc w:val="both"/>
        <w:rPr>
          <w:rFonts w:cs="Calibri"/>
          <w:sz w:val="24"/>
          <w:szCs w:val="24"/>
        </w:rPr>
      </w:pPr>
      <w:r w:rsidRPr="00871AF8">
        <w:rPr>
          <w:rFonts w:cs="Calibri"/>
          <w:sz w:val="24"/>
          <w:szCs w:val="24"/>
        </w:rPr>
        <w:t>Manji utjecaj na promjenu financijskog plana rashoda poslovanja ima i promjena pro rata stope prava na odbitak pretporeza. Kod izrade financijskog plana korištena je tada važeća stopa prava na odbitak pretporeza u visini 24 %. Konačnim obračunom poreza na dodanu vrijednost stopa je smanjena na 22 %, što ima za posljedicu povećanje troškova za one nabave koje se ne mogu izravno na temelju knjigovodstvene ili druge dokumentacije pripisati oporezivim isporukama ili isporukama za koje je propisano oslobođenje (režijski troškovi i komunalne usluge, tekuće i investicijsko održavanje „zajedničkih“ prostora, troškove pomoćnih službi i slično).</w:t>
      </w:r>
    </w:p>
    <w:p w14:paraId="14143524" w14:textId="77777777" w:rsidR="00AC2500" w:rsidRPr="00871AF8" w:rsidRDefault="00AC2500" w:rsidP="00AC2500">
      <w:pPr>
        <w:spacing w:before="120" w:after="40" w:line="276" w:lineRule="auto"/>
        <w:contextualSpacing/>
        <w:jc w:val="both"/>
        <w:rPr>
          <w:rFonts w:cs="Calibri"/>
          <w:sz w:val="24"/>
          <w:szCs w:val="24"/>
        </w:rPr>
      </w:pPr>
    </w:p>
    <w:p w14:paraId="53454897" w14:textId="77777777" w:rsidR="008658C4" w:rsidRPr="00871AF8" w:rsidRDefault="008658C4" w:rsidP="00AC2500">
      <w:pPr>
        <w:spacing w:before="120" w:after="40" w:line="276" w:lineRule="auto"/>
        <w:contextualSpacing/>
        <w:jc w:val="both"/>
        <w:rPr>
          <w:rFonts w:eastAsia="Times New Roman" w:cs="Calibri"/>
          <w:sz w:val="24"/>
          <w:szCs w:val="24"/>
          <w:lang w:eastAsia="hr-HR"/>
        </w:rPr>
      </w:pPr>
      <w:r w:rsidRPr="00871AF8">
        <w:rPr>
          <w:rFonts w:eastAsia="Times New Roman" w:cs="Calibri"/>
          <w:sz w:val="24"/>
          <w:szCs w:val="24"/>
          <w:lang w:eastAsia="hr-HR"/>
        </w:rPr>
        <w:t>Rashodi poslovanja financiraju se iz prihoda poslovanja u iznosu od 25.895.700,00 EUR i prenesenog viška prihoda u iznosu od 889.912,00 EUR.</w:t>
      </w:r>
    </w:p>
    <w:p w14:paraId="23FEB50E" w14:textId="77777777" w:rsidR="008658C4" w:rsidRPr="00871AF8" w:rsidRDefault="008658C4" w:rsidP="00AC2500">
      <w:pPr>
        <w:shd w:val="clear" w:color="auto" w:fill="F8EFFF"/>
        <w:spacing w:before="360" w:after="240" w:line="264" w:lineRule="auto"/>
        <w:rPr>
          <w:rFonts w:cs="Calibri"/>
          <w:b/>
          <w:bCs/>
          <w:sz w:val="24"/>
          <w:szCs w:val="24"/>
        </w:rPr>
      </w:pPr>
      <w:r w:rsidRPr="00871AF8">
        <w:rPr>
          <w:rFonts w:cs="Calibri"/>
          <w:b/>
          <w:bCs/>
          <w:sz w:val="24"/>
          <w:szCs w:val="24"/>
        </w:rPr>
        <w:t>REBALANS PLANA RASHODA ZA NABAVU NEFINANCIJSKE IMOVINE 2025. GODINU I OBRAZLOŽENJE</w:t>
      </w:r>
    </w:p>
    <w:p w14:paraId="7D7498A6" w14:textId="77777777" w:rsidR="008658C4" w:rsidRDefault="008658C4" w:rsidP="00AC2500">
      <w:pPr>
        <w:tabs>
          <w:tab w:val="num" w:pos="360"/>
        </w:tabs>
        <w:spacing w:before="120" w:after="40" w:line="276" w:lineRule="auto"/>
        <w:contextualSpacing/>
        <w:rPr>
          <w:rFonts w:cs="Calibri"/>
          <w:sz w:val="24"/>
          <w:szCs w:val="24"/>
        </w:rPr>
      </w:pPr>
      <w:r w:rsidRPr="00871AF8">
        <w:rPr>
          <w:rFonts w:cs="Calibri"/>
          <w:sz w:val="24"/>
          <w:szCs w:val="24"/>
        </w:rPr>
        <w:t>Prema prijedlogu Rebalansa plana rashoda za nabavu dugotrajne nefinancijske imovine planira se godišnje ostvarenje u iznosu 930.118,00 EUR što je za 27.242,00 EUR manje u odnosu usvojeni plan.</w:t>
      </w:r>
    </w:p>
    <w:p w14:paraId="6660F629" w14:textId="77777777" w:rsidR="00AC2500" w:rsidRPr="00871AF8" w:rsidRDefault="00AC2500" w:rsidP="00AC2500">
      <w:pPr>
        <w:tabs>
          <w:tab w:val="num" w:pos="360"/>
        </w:tabs>
        <w:spacing w:before="120" w:after="40" w:line="276" w:lineRule="auto"/>
        <w:contextualSpacing/>
        <w:rPr>
          <w:rFonts w:cs="Calibri"/>
          <w:sz w:val="24"/>
          <w:szCs w:val="24"/>
        </w:rPr>
      </w:pPr>
    </w:p>
    <w:p w14:paraId="7D110BD7" w14:textId="77777777" w:rsidR="008658C4" w:rsidRPr="00871AF8" w:rsidRDefault="008658C4" w:rsidP="00AC2500">
      <w:pPr>
        <w:tabs>
          <w:tab w:val="num" w:pos="360"/>
        </w:tabs>
        <w:spacing w:before="120" w:after="40" w:line="276" w:lineRule="auto"/>
        <w:contextualSpacing/>
        <w:rPr>
          <w:rFonts w:eastAsia="Times New Roman" w:cs="Calibri"/>
          <w:sz w:val="24"/>
          <w:szCs w:val="24"/>
          <w:lang w:eastAsia="hr-HR"/>
        </w:rPr>
      </w:pPr>
      <w:r w:rsidRPr="00871AF8">
        <w:rPr>
          <w:rFonts w:eastAsia="Times New Roman" w:cs="Calibri"/>
          <w:sz w:val="24"/>
          <w:szCs w:val="24"/>
          <w:lang w:eastAsia="hr-HR"/>
        </w:rPr>
        <w:t>Razrada plana rashoda za nabavnu dugotrajne nefinancijske imovine prema vrsti troška i plan nabave dugotrajne nefinancijske imovine po predmetima nabave dani su u tabelama u privitku.</w:t>
      </w:r>
    </w:p>
    <w:p w14:paraId="12003AE8" w14:textId="77777777" w:rsidR="008658C4" w:rsidRPr="00871AF8" w:rsidRDefault="008658C4" w:rsidP="00AC2500">
      <w:pPr>
        <w:tabs>
          <w:tab w:val="num" w:pos="360"/>
        </w:tabs>
        <w:spacing w:before="120" w:after="40" w:line="276" w:lineRule="auto"/>
        <w:contextualSpacing/>
        <w:rPr>
          <w:rFonts w:eastAsia="Times New Roman" w:cs="Calibri"/>
          <w:sz w:val="24"/>
          <w:szCs w:val="24"/>
          <w:lang w:eastAsia="hr-HR"/>
        </w:rPr>
      </w:pPr>
      <w:r w:rsidRPr="00871AF8">
        <w:rPr>
          <w:rFonts w:eastAsia="Times New Roman" w:cs="Calibri"/>
          <w:sz w:val="24"/>
          <w:szCs w:val="24"/>
          <w:lang w:eastAsia="hr-HR"/>
        </w:rPr>
        <w:t>U 2025. godini planira se:</w:t>
      </w:r>
    </w:p>
    <w:p w14:paraId="2DE09D3D" w14:textId="77777777" w:rsidR="008658C4" w:rsidRPr="00871AF8" w:rsidRDefault="008658C4" w:rsidP="00AC2500">
      <w:pPr>
        <w:numPr>
          <w:ilvl w:val="0"/>
          <w:numId w:val="6"/>
        </w:numPr>
        <w:spacing w:before="120" w:after="40" w:line="276" w:lineRule="auto"/>
        <w:contextualSpacing/>
        <w:jc w:val="both"/>
        <w:rPr>
          <w:rFonts w:eastAsia="Times New Roman" w:cs="Calibri"/>
          <w:sz w:val="24"/>
          <w:szCs w:val="24"/>
          <w:lang w:eastAsia="hr-HR"/>
        </w:rPr>
      </w:pPr>
      <w:r w:rsidRPr="00871AF8">
        <w:rPr>
          <w:rFonts w:eastAsia="Times New Roman" w:cs="Calibri"/>
          <w:sz w:val="24"/>
          <w:szCs w:val="24"/>
          <w:lang w:eastAsia="hr-HR"/>
        </w:rPr>
        <w:t>realizacija nabava za dugotrajnu nefinancijsku imovinu čiji su postupci započeli i/ili završili u 2024. godini u iznosu 37.365,00 EUR</w:t>
      </w:r>
    </w:p>
    <w:p w14:paraId="1CFD0787" w14:textId="31A57379" w:rsidR="008658C4" w:rsidRDefault="008658C4" w:rsidP="00AC2500">
      <w:pPr>
        <w:numPr>
          <w:ilvl w:val="0"/>
          <w:numId w:val="6"/>
        </w:numPr>
        <w:spacing w:before="120" w:after="40" w:line="276" w:lineRule="auto"/>
        <w:contextualSpacing/>
        <w:jc w:val="both"/>
        <w:rPr>
          <w:rFonts w:eastAsia="Times New Roman" w:cs="Calibri"/>
          <w:sz w:val="24"/>
          <w:szCs w:val="24"/>
          <w:lang w:eastAsia="hr-HR"/>
        </w:rPr>
      </w:pPr>
      <w:r w:rsidRPr="00871AF8">
        <w:rPr>
          <w:rFonts w:eastAsia="Times New Roman" w:cs="Calibri"/>
          <w:sz w:val="24"/>
          <w:szCs w:val="24"/>
          <w:lang w:eastAsia="hr-HR"/>
        </w:rPr>
        <w:t xml:space="preserve">realizacija plana nabave za </w:t>
      </w:r>
      <w:r w:rsidR="00B157DC">
        <w:rPr>
          <w:rFonts w:eastAsia="Times New Roman" w:cs="Calibri"/>
          <w:sz w:val="24"/>
          <w:szCs w:val="24"/>
          <w:lang w:eastAsia="hr-HR"/>
        </w:rPr>
        <w:t>2025</w:t>
      </w:r>
      <w:r w:rsidRPr="00871AF8">
        <w:rPr>
          <w:rFonts w:eastAsia="Times New Roman" w:cs="Calibri"/>
          <w:sz w:val="24"/>
          <w:szCs w:val="24"/>
          <w:lang w:eastAsia="hr-HR"/>
        </w:rPr>
        <w:t>. godinu prema odobrenim prioritetima stručnih službi u iznosu 892.753,00 EUR</w:t>
      </w:r>
    </w:p>
    <w:p w14:paraId="19392B6F" w14:textId="77777777" w:rsidR="00AC2500" w:rsidRPr="00871AF8" w:rsidRDefault="00AC2500" w:rsidP="00AC2500">
      <w:pPr>
        <w:spacing w:before="120" w:after="40" w:line="276" w:lineRule="auto"/>
        <w:ind w:left="3"/>
        <w:contextualSpacing/>
        <w:jc w:val="both"/>
        <w:rPr>
          <w:rFonts w:eastAsia="Times New Roman" w:cs="Calibri"/>
          <w:sz w:val="24"/>
          <w:szCs w:val="24"/>
          <w:lang w:eastAsia="hr-HR"/>
        </w:rPr>
      </w:pPr>
    </w:p>
    <w:p w14:paraId="32167BC5" w14:textId="77777777" w:rsidR="008658C4" w:rsidRPr="00871AF8" w:rsidRDefault="008658C4" w:rsidP="00AC2500">
      <w:pPr>
        <w:spacing w:before="120" w:after="40" w:line="276" w:lineRule="auto"/>
        <w:contextualSpacing/>
        <w:rPr>
          <w:rFonts w:eastAsia="Times New Roman" w:cs="Calibri"/>
          <w:sz w:val="24"/>
          <w:szCs w:val="24"/>
          <w:lang w:eastAsia="hr-HR"/>
        </w:rPr>
      </w:pPr>
      <w:r w:rsidRPr="00871AF8">
        <w:rPr>
          <w:rFonts w:eastAsia="Times New Roman" w:cs="Calibri"/>
          <w:sz w:val="24"/>
          <w:szCs w:val="24"/>
          <w:lang w:eastAsia="hr-HR"/>
        </w:rPr>
        <w:t>Rashodi za nabavu nefinancijske imovine financiraju se iz:</w:t>
      </w:r>
    </w:p>
    <w:p w14:paraId="2396F11C" w14:textId="77777777" w:rsidR="008658C4" w:rsidRPr="00871AF8" w:rsidRDefault="008658C4" w:rsidP="00AC2500">
      <w:pPr>
        <w:numPr>
          <w:ilvl w:val="0"/>
          <w:numId w:val="7"/>
        </w:numPr>
        <w:spacing w:before="120" w:after="40" w:line="276" w:lineRule="auto"/>
        <w:contextualSpacing/>
        <w:jc w:val="both"/>
        <w:rPr>
          <w:rFonts w:eastAsia="Times New Roman" w:cs="Calibri"/>
          <w:sz w:val="24"/>
          <w:szCs w:val="24"/>
          <w:lang w:eastAsia="hr-HR"/>
        </w:rPr>
      </w:pPr>
      <w:r w:rsidRPr="00871AF8">
        <w:rPr>
          <w:rFonts w:eastAsia="Times New Roman" w:cs="Calibri"/>
          <w:sz w:val="24"/>
          <w:szCs w:val="24"/>
          <w:lang w:eastAsia="hr-HR"/>
        </w:rPr>
        <w:t xml:space="preserve">akumuliranog viška prihoda u iznosu 840.118,00 EUR </w:t>
      </w:r>
    </w:p>
    <w:p w14:paraId="70AC9004" w14:textId="77777777" w:rsidR="008658C4" w:rsidRPr="00871AF8" w:rsidRDefault="008658C4" w:rsidP="00AC2500">
      <w:pPr>
        <w:numPr>
          <w:ilvl w:val="0"/>
          <w:numId w:val="7"/>
        </w:numPr>
        <w:spacing w:before="120" w:after="40" w:line="276" w:lineRule="auto"/>
        <w:contextualSpacing/>
        <w:jc w:val="both"/>
        <w:rPr>
          <w:rFonts w:eastAsia="Times New Roman" w:cs="Calibri"/>
          <w:sz w:val="24"/>
          <w:szCs w:val="24"/>
          <w:lang w:eastAsia="hr-HR"/>
        </w:rPr>
      </w:pPr>
      <w:r w:rsidRPr="00871AF8">
        <w:rPr>
          <w:rFonts w:eastAsia="Times New Roman" w:cs="Calibri"/>
          <w:sz w:val="24"/>
          <w:szCs w:val="24"/>
          <w:lang w:eastAsia="hr-HR"/>
        </w:rPr>
        <w:t>prihoda za financiranje rashoda za nabavu nefinancijske imovine u iznosu 85.000,00 EUR</w:t>
      </w:r>
    </w:p>
    <w:p w14:paraId="271DE948" w14:textId="77777777" w:rsidR="008658C4" w:rsidRDefault="008658C4" w:rsidP="00AC2500">
      <w:pPr>
        <w:numPr>
          <w:ilvl w:val="0"/>
          <w:numId w:val="7"/>
        </w:numPr>
        <w:spacing w:before="120" w:after="40" w:line="276" w:lineRule="auto"/>
        <w:contextualSpacing/>
        <w:jc w:val="both"/>
        <w:rPr>
          <w:rFonts w:eastAsia="Times New Roman" w:cs="Calibri"/>
          <w:sz w:val="24"/>
          <w:szCs w:val="24"/>
          <w:lang w:eastAsia="hr-HR"/>
        </w:rPr>
      </w:pPr>
      <w:r w:rsidRPr="00871AF8">
        <w:rPr>
          <w:rFonts w:eastAsia="Times New Roman" w:cs="Calibri"/>
          <w:sz w:val="24"/>
          <w:szCs w:val="24"/>
          <w:lang w:eastAsia="hr-HR"/>
        </w:rPr>
        <w:t>prihoda od prodaje nefinancijske imovine u iznosu 5.000,00 EUR</w:t>
      </w:r>
    </w:p>
    <w:p w14:paraId="2732CADC" w14:textId="629D2DEA" w:rsidR="0085408E" w:rsidRDefault="0085408E">
      <w:pPr>
        <w:rPr>
          <w:rFonts w:eastAsia="Times New Roman" w:cs="Calibri"/>
          <w:sz w:val="24"/>
          <w:szCs w:val="24"/>
          <w:lang w:eastAsia="hr-HR"/>
        </w:rPr>
      </w:pPr>
      <w:r>
        <w:rPr>
          <w:rFonts w:eastAsia="Times New Roman" w:cs="Calibri"/>
          <w:sz w:val="24"/>
          <w:szCs w:val="24"/>
          <w:lang w:eastAsia="hr-HR"/>
        </w:rPr>
        <w:br w:type="page"/>
      </w:r>
    </w:p>
    <w:p w14:paraId="418B4480" w14:textId="77777777" w:rsidR="008658C4" w:rsidRPr="00871AF8" w:rsidRDefault="008658C4" w:rsidP="00AC2500">
      <w:pPr>
        <w:shd w:val="clear" w:color="auto" w:fill="F8EFFF"/>
        <w:spacing w:before="360" w:after="240" w:line="264" w:lineRule="auto"/>
        <w:rPr>
          <w:rFonts w:cs="Calibri"/>
          <w:b/>
          <w:bCs/>
          <w:sz w:val="24"/>
          <w:szCs w:val="24"/>
          <w:lang w:eastAsia="hr-HR"/>
        </w:rPr>
      </w:pPr>
      <w:bookmarkStart w:id="0" w:name="_Hlk169804945"/>
      <w:r w:rsidRPr="00871AF8">
        <w:rPr>
          <w:rFonts w:cs="Calibri"/>
          <w:b/>
          <w:bCs/>
          <w:sz w:val="24"/>
          <w:szCs w:val="24"/>
          <w:lang w:eastAsia="hr-HR"/>
        </w:rPr>
        <w:lastRenderedPageBreak/>
        <w:t>VIŠAK PRIHODA POSLOVANJA ZA POKRIĆE RASHODA I IZDATAKA U SLJEDEĆEM RAZDOBLJU</w:t>
      </w:r>
    </w:p>
    <w:bookmarkEnd w:id="0"/>
    <w:p w14:paraId="16CFB812" w14:textId="77777777" w:rsidR="008658C4" w:rsidRPr="00871AF8" w:rsidRDefault="008658C4" w:rsidP="00AC2500">
      <w:pPr>
        <w:spacing w:before="80" w:afterLines="40" w:after="96" w:line="264" w:lineRule="auto"/>
        <w:contextualSpacing/>
        <w:rPr>
          <w:rFonts w:eastAsia="Times New Roman" w:cs="Calibri"/>
          <w:sz w:val="24"/>
          <w:szCs w:val="24"/>
          <w:lang w:eastAsia="hr-HR"/>
        </w:rPr>
      </w:pPr>
      <w:r w:rsidRPr="00871AF8">
        <w:rPr>
          <w:rFonts w:eastAsia="Times New Roman" w:cs="Calibri"/>
          <w:sz w:val="24"/>
          <w:szCs w:val="24"/>
          <w:lang w:eastAsia="hr-HR"/>
        </w:rPr>
        <w:t xml:space="preserve">U 2024. godini ostvaren je višak prihoda poslovanja za pokriće rashoda i izdataka u sljedećem razdoblju u iznosu 1.730.030,00 EUR. </w:t>
      </w:r>
    </w:p>
    <w:p w14:paraId="39D54EA6" w14:textId="77777777" w:rsidR="008658C4" w:rsidRPr="00871AF8" w:rsidRDefault="008658C4" w:rsidP="00AC2500">
      <w:pPr>
        <w:spacing w:before="80" w:afterLines="40" w:after="96" w:line="264" w:lineRule="auto"/>
        <w:contextualSpacing/>
        <w:rPr>
          <w:rFonts w:eastAsia="Times New Roman" w:cs="Calibri"/>
          <w:sz w:val="24"/>
          <w:szCs w:val="24"/>
          <w:lang w:eastAsia="hr-HR"/>
        </w:rPr>
      </w:pPr>
      <w:r w:rsidRPr="00871AF8">
        <w:rPr>
          <w:rFonts w:eastAsia="Times New Roman" w:cs="Calibri"/>
          <w:sz w:val="24"/>
          <w:szCs w:val="24"/>
          <w:lang w:eastAsia="hr-HR"/>
        </w:rPr>
        <w:t xml:space="preserve">Kod donošenja plana za 2025. godinu viška prihoda poslovanja za pokriće rashoda i izdataka u sljedećem razdoblju je bio planirani u iznosu 1.995.000,00 EUR. </w:t>
      </w:r>
    </w:p>
    <w:p w14:paraId="4737146A" w14:textId="77777777" w:rsidR="008658C4" w:rsidRPr="00871AF8" w:rsidRDefault="008658C4" w:rsidP="00AC2500">
      <w:pPr>
        <w:spacing w:before="80" w:afterLines="40" w:after="96" w:line="264" w:lineRule="auto"/>
        <w:contextualSpacing/>
        <w:rPr>
          <w:rFonts w:eastAsia="Times New Roman" w:cs="Calibri"/>
          <w:sz w:val="24"/>
          <w:szCs w:val="24"/>
          <w:lang w:eastAsia="hr-HR"/>
        </w:rPr>
      </w:pPr>
      <w:r w:rsidRPr="00871AF8">
        <w:rPr>
          <w:rFonts w:eastAsia="Times New Roman" w:cs="Calibri"/>
          <w:sz w:val="24"/>
          <w:szCs w:val="24"/>
          <w:lang w:eastAsia="hr-HR"/>
        </w:rPr>
        <w:t>Prijedlogom rebalansa predlaže se umanjenje prethodno planiranog iznosa za 264.970 EUR kako bi ovaj izvor financiranja bio u rebalansu plana uključen u ostvarenom iznosu.</w:t>
      </w:r>
    </w:p>
    <w:p w14:paraId="271705BE" w14:textId="77777777" w:rsidR="008658C4" w:rsidRPr="00871AF8" w:rsidRDefault="008658C4" w:rsidP="008658C4">
      <w:pPr>
        <w:spacing w:beforeLines="80" w:before="192" w:afterLines="40" w:after="96" w:line="264" w:lineRule="auto"/>
        <w:jc w:val="center"/>
        <w:rPr>
          <w:rFonts w:cs="Calibri"/>
          <w:sz w:val="24"/>
          <w:szCs w:val="24"/>
          <w:lang w:eastAsia="hr-HR"/>
        </w:rPr>
      </w:pPr>
    </w:p>
    <w:p w14:paraId="39441EB1" w14:textId="77777777" w:rsidR="008658C4" w:rsidRPr="00871AF8" w:rsidRDefault="008658C4" w:rsidP="008658C4">
      <w:pPr>
        <w:spacing w:beforeLines="80" w:before="192" w:afterLines="40" w:after="96" w:line="264" w:lineRule="auto"/>
        <w:jc w:val="center"/>
        <w:rPr>
          <w:rFonts w:cs="Calibri"/>
          <w:sz w:val="24"/>
          <w:szCs w:val="24"/>
          <w:lang w:eastAsia="hr-HR"/>
        </w:rPr>
      </w:pPr>
    </w:p>
    <w:p w14:paraId="055A4FE2" w14:textId="77777777" w:rsidR="008658C4" w:rsidRPr="00871AF8" w:rsidRDefault="008658C4" w:rsidP="008658C4">
      <w:pPr>
        <w:spacing w:beforeLines="80" w:before="192" w:afterLines="40" w:after="96" w:line="264" w:lineRule="auto"/>
        <w:jc w:val="center"/>
        <w:rPr>
          <w:rFonts w:cs="Calibri"/>
          <w:sz w:val="24"/>
          <w:szCs w:val="24"/>
          <w:lang w:eastAsia="hr-HR"/>
        </w:rPr>
      </w:pPr>
      <w:r w:rsidRPr="00871AF8">
        <w:rPr>
          <w:rFonts w:cs="Calibri"/>
          <w:sz w:val="24"/>
          <w:szCs w:val="24"/>
          <w:lang w:eastAsia="hr-HR"/>
        </w:rPr>
        <w:tab/>
      </w:r>
      <w:r w:rsidRPr="00871AF8">
        <w:rPr>
          <w:rFonts w:cs="Calibri"/>
          <w:sz w:val="24"/>
          <w:szCs w:val="24"/>
          <w:lang w:eastAsia="hr-HR"/>
        </w:rPr>
        <w:tab/>
      </w:r>
      <w:r w:rsidRPr="00871AF8">
        <w:rPr>
          <w:rFonts w:cs="Calibri"/>
          <w:sz w:val="24"/>
          <w:szCs w:val="24"/>
          <w:lang w:eastAsia="hr-HR"/>
        </w:rPr>
        <w:tab/>
      </w:r>
      <w:r w:rsidRPr="00871AF8">
        <w:rPr>
          <w:rFonts w:cs="Calibri"/>
          <w:sz w:val="24"/>
          <w:szCs w:val="24"/>
          <w:lang w:eastAsia="hr-HR"/>
        </w:rPr>
        <w:tab/>
      </w:r>
      <w:r w:rsidRPr="00871AF8">
        <w:rPr>
          <w:rFonts w:cs="Calibri"/>
          <w:sz w:val="24"/>
          <w:szCs w:val="24"/>
          <w:lang w:eastAsia="hr-HR"/>
        </w:rPr>
        <w:tab/>
        <w:t>Ravnatelj</w:t>
      </w:r>
      <w:r w:rsidRPr="00871AF8">
        <w:rPr>
          <w:rFonts w:cs="Calibri"/>
          <w:sz w:val="24"/>
          <w:szCs w:val="24"/>
          <w:lang w:eastAsia="hr-HR"/>
        </w:rPr>
        <w:br/>
      </w:r>
      <w:r w:rsidRPr="00871AF8">
        <w:rPr>
          <w:rFonts w:cs="Calibri"/>
          <w:sz w:val="24"/>
          <w:szCs w:val="24"/>
          <w:lang w:eastAsia="hr-HR"/>
        </w:rPr>
        <w:tab/>
      </w:r>
      <w:r w:rsidRPr="00871AF8">
        <w:rPr>
          <w:rFonts w:cs="Calibri"/>
          <w:sz w:val="24"/>
          <w:szCs w:val="24"/>
          <w:lang w:eastAsia="hr-HR"/>
        </w:rPr>
        <w:tab/>
      </w:r>
      <w:r w:rsidRPr="00871AF8">
        <w:rPr>
          <w:rFonts w:cs="Calibri"/>
          <w:sz w:val="24"/>
          <w:szCs w:val="24"/>
          <w:lang w:eastAsia="hr-HR"/>
        </w:rPr>
        <w:tab/>
      </w:r>
      <w:r w:rsidRPr="00871AF8">
        <w:rPr>
          <w:rFonts w:cs="Calibri"/>
          <w:sz w:val="24"/>
          <w:szCs w:val="24"/>
          <w:lang w:eastAsia="hr-HR"/>
        </w:rPr>
        <w:tab/>
        <w:t>prof. prim. dr. sc. Branko Kolarić, dr. med.</w:t>
      </w:r>
    </w:p>
    <w:p w14:paraId="74B753EF" w14:textId="77777777" w:rsidR="008658C4" w:rsidRPr="00871AF8" w:rsidRDefault="008658C4" w:rsidP="008658C4">
      <w:pPr>
        <w:rPr>
          <w:rFonts w:cs="Calibri"/>
          <w:i/>
          <w:iCs/>
          <w:sz w:val="20"/>
          <w:szCs w:val="20"/>
          <w:u w:val="single"/>
        </w:rPr>
      </w:pPr>
    </w:p>
    <w:p w14:paraId="381BF8ED" w14:textId="77777777" w:rsidR="008658C4" w:rsidRPr="00871AF8" w:rsidRDefault="008658C4" w:rsidP="008658C4">
      <w:pPr>
        <w:rPr>
          <w:rFonts w:cs="Calibri"/>
          <w:i/>
          <w:iCs/>
          <w:sz w:val="20"/>
          <w:szCs w:val="20"/>
          <w:u w:val="single"/>
        </w:rPr>
      </w:pPr>
    </w:p>
    <w:p w14:paraId="242974BD" w14:textId="77777777" w:rsidR="008658C4" w:rsidRPr="00871AF8" w:rsidRDefault="008658C4" w:rsidP="008658C4">
      <w:pPr>
        <w:rPr>
          <w:rFonts w:cs="Calibri"/>
          <w:i/>
          <w:iCs/>
          <w:sz w:val="20"/>
          <w:szCs w:val="20"/>
          <w:u w:val="single"/>
        </w:rPr>
      </w:pPr>
    </w:p>
    <w:p w14:paraId="65704BED" w14:textId="77777777" w:rsidR="008658C4" w:rsidRPr="00871AF8" w:rsidRDefault="008658C4" w:rsidP="008658C4">
      <w:pPr>
        <w:rPr>
          <w:rFonts w:cs="Calibri"/>
          <w:i/>
          <w:iCs/>
          <w:sz w:val="20"/>
          <w:szCs w:val="20"/>
          <w:u w:val="single"/>
        </w:rPr>
      </w:pPr>
    </w:p>
    <w:p w14:paraId="201DB810" w14:textId="77777777" w:rsidR="008658C4" w:rsidRPr="00871AF8" w:rsidRDefault="008658C4" w:rsidP="008658C4">
      <w:pPr>
        <w:rPr>
          <w:rFonts w:cs="Calibri"/>
          <w:i/>
          <w:iCs/>
          <w:sz w:val="20"/>
          <w:szCs w:val="20"/>
          <w:u w:val="single"/>
        </w:rPr>
      </w:pPr>
      <w:r w:rsidRPr="00871AF8">
        <w:rPr>
          <w:rFonts w:cs="Calibri"/>
          <w:i/>
          <w:iCs/>
          <w:sz w:val="20"/>
          <w:szCs w:val="20"/>
          <w:u w:val="single"/>
        </w:rPr>
        <w:t>Privitak:</w:t>
      </w:r>
    </w:p>
    <w:p w14:paraId="2F2B060B" w14:textId="77777777" w:rsidR="008658C4" w:rsidRPr="00871AF8" w:rsidRDefault="008658C4" w:rsidP="008658C4">
      <w:pPr>
        <w:numPr>
          <w:ilvl w:val="0"/>
          <w:numId w:val="3"/>
        </w:numPr>
        <w:spacing w:before="40"/>
        <w:ind w:left="357" w:hanging="357"/>
        <w:jc w:val="both"/>
        <w:rPr>
          <w:rFonts w:cs="Calibri"/>
          <w:i/>
          <w:iCs/>
          <w:sz w:val="20"/>
          <w:szCs w:val="20"/>
        </w:rPr>
      </w:pPr>
      <w:r w:rsidRPr="00871AF8">
        <w:rPr>
          <w:rFonts w:cs="Calibri"/>
          <w:i/>
          <w:iCs/>
          <w:sz w:val="20"/>
          <w:szCs w:val="20"/>
        </w:rPr>
        <w:t>Financijski plan za 2025. godinu – I. Rebalans – opći dio</w:t>
      </w:r>
    </w:p>
    <w:p w14:paraId="2093B1BC" w14:textId="77777777" w:rsidR="008658C4" w:rsidRPr="00871AF8" w:rsidRDefault="008658C4" w:rsidP="008658C4">
      <w:pPr>
        <w:numPr>
          <w:ilvl w:val="0"/>
          <w:numId w:val="3"/>
        </w:numPr>
        <w:spacing w:before="40"/>
        <w:ind w:left="357" w:hanging="357"/>
        <w:jc w:val="both"/>
        <w:rPr>
          <w:rFonts w:cs="Calibri"/>
          <w:i/>
          <w:iCs/>
          <w:sz w:val="20"/>
          <w:szCs w:val="20"/>
        </w:rPr>
      </w:pPr>
      <w:r w:rsidRPr="00871AF8">
        <w:rPr>
          <w:rFonts w:cs="Calibri"/>
          <w:i/>
          <w:iCs/>
          <w:sz w:val="20"/>
          <w:szCs w:val="20"/>
        </w:rPr>
        <w:t xml:space="preserve">Financijski plan prihoda i rashoda za 2025. godinu – I. Rebalans </w:t>
      </w:r>
    </w:p>
    <w:p w14:paraId="5D1635B0" w14:textId="77777777" w:rsidR="008658C4" w:rsidRPr="00871AF8" w:rsidRDefault="008658C4" w:rsidP="008658C4">
      <w:pPr>
        <w:numPr>
          <w:ilvl w:val="0"/>
          <w:numId w:val="3"/>
        </w:numPr>
        <w:spacing w:before="40"/>
        <w:ind w:left="357" w:hanging="357"/>
        <w:jc w:val="both"/>
        <w:rPr>
          <w:rFonts w:cs="Calibri"/>
          <w:i/>
          <w:iCs/>
          <w:sz w:val="20"/>
          <w:szCs w:val="20"/>
        </w:rPr>
      </w:pPr>
      <w:r w:rsidRPr="00871AF8">
        <w:rPr>
          <w:rFonts w:cs="Calibri"/>
          <w:i/>
          <w:iCs/>
          <w:sz w:val="20"/>
          <w:szCs w:val="20"/>
        </w:rPr>
        <w:t>Plan nabave materijala, energije i usluga za 2025. godinu – I. Rebalans</w:t>
      </w:r>
    </w:p>
    <w:p w14:paraId="38168A36" w14:textId="77777777" w:rsidR="008658C4" w:rsidRPr="00871AF8" w:rsidRDefault="008658C4" w:rsidP="008658C4">
      <w:pPr>
        <w:numPr>
          <w:ilvl w:val="0"/>
          <w:numId w:val="3"/>
        </w:numPr>
        <w:spacing w:before="40"/>
        <w:ind w:left="357" w:hanging="357"/>
        <w:jc w:val="both"/>
        <w:rPr>
          <w:rFonts w:cs="Calibri"/>
          <w:i/>
          <w:iCs/>
          <w:sz w:val="20"/>
          <w:szCs w:val="20"/>
        </w:rPr>
      </w:pPr>
      <w:r w:rsidRPr="00871AF8">
        <w:rPr>
          <w:rFonts w:cs="Calibri"/>
          <w:i/>
          <w:iCs/>
          <w:sz w:val="20"/>
          <w:szCs w:val="20"/>
        </w:rPr>
        <w:t>Plan nabave dugotrajne nefinancijske imovine za 2025. godinu – I. Rebalans.</w:t>
      </w:r>
    </w:p>
    <w:p w14:paraId="53C11B53" w14:textId="77777777" w:rsidR="008658C4" w:rsidRPr="00871AF8" w:rsidRDefault="008658C4" w:rsidP="008658C4">
      <w:pPr>
        <w:ind w:left="357"/>
        <w:rPr>
          <w:rFonts w:cs="Calibri"/>
          <w:i/>
          <w:iCs/>
          <w:sz w:val="20"/>
          <w:szCs w:val="20"/>
        </w:rPr>
      </w:pPr>
    </w:p>
    <w:p w14:paraId="7350269E" w14:textId="77777777" w:rsidR="001D687F" w:rsidRPr="008658C4" w:rsidRDefault="001D687F" w:rsidP="008658C4"/>
    <w:sectPr w:rsidR="001D687F" w:rsidRPr="008658C4" w:rsidSect="00FE372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268" w:right="1134"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7B9D" w14:textId="77777777" w:rsidR="00BE6702" w:rsidRDefault="00BE6702" w:rsidP="00C143B7">
      <w:r>
        <w:separator/>
      </w:r>
    </w:p>
  </w:endnote>
  <w:endnote w:type="continuationSeparator" w:id="0">
    <w:p w14:paraId="64DAE6A8" w14:textId="77777777" w:rsidR="00BE6702" w:rsidRDefault="00BE6702" w:rsidP="00C1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0112" w14:textId="77777777" w:rsidR="00094905" w:rsidRDefault="0009490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9847" w14:textId="77777777" w:rsidR="00094905" w:rsidRDefault="00094905">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8B28" w14:textId="21642058" w:rsidR="006B5441" w:rsidRDefault="00E868F6">
    <w:pPr>
      <w:pStyle w:val="Podnoje"/>
    </w:pPr>
    <w:r>
      <w:rPr>
        <w:noProof/>
      </w:rPr>
      <w:drawing>
        <wp:inline distT="0" distB="0" distL="0" distR="0" wp14:anchorId="37BB6A00" wp14:editId="6804F627">
          <wp:extent cx="5934075" cy="8572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857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8AA0F" w14:textId="77777777" w:rsidR="00BE6702" w:rsidRDefault="00BE6702" w:rsidP="00C143B7">
      <w:r>
        <w:separator/>
      </w:r>
    </w:p>
  </w:footnote>
  <w:footnote w:type="continuationSeparator" w:id="0">
    <w:p w14:paraId="5A497BE1" w14:textId="77777777" w:rsidR="00BE6702" w:rsidRDefault="00BE6702" w:rsidP="00C14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A6FE" w14:textId="77777777" w:rsidR="00094905" w:rsidRDefault="0009490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5389" w14:textId="4D313876" w:rsidR="00F537F5" w:rsidRPr="0010687D" w:rsidRDefault="00E868F6" w:rsidP="0010687D">
    <w:pPr>
      <w:pStyle w:val="Zaglavlje"/>
    </w:pPr>
    <w:r>
      <w:rPr>
        <w:noProof/>
      </w:rPr>
      <w:drawing>
        <wp:inline distT="0" distB="0" distL="0" distR="0" wp14:anchorId="2BDE4583" wp14:editId="7BAD94C5">
          <wp:extent cx="390525" cy="3905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0E75" w14:textId="1232AA9C" w:rsidR="00F537F5" w:rsidRDefault="00E868F6">
    <w:pPr>
      <w:pStyle w:val="Zaglavlje"/>
    </w:pPr>
    <w:r>
      <w:rPr>
        <w:noProof/>
      </w:rPr>
      <mc:AlternateContent>
        <mc:Choice Requires="wps">
          <w:drawing>
            <wp:anchor distT="45720" distB="45720" distL="114300" distR="114300" simplePos="0" relativeHeight="251658752" behindDoc="0" locked="0" layoutInCell="1" allowOverlap="1" wp14:anchorId="23172FDF" wp14:editId="32F593C5">
              <wp:simplePos x="0" y="0"/>
              <wp:positionH relativeFrom="column">
                <wp:posOffset>3271520</wp:posOffset>
              </wp:positionH>
              <wp:positionV relativeFrom="paragraph">
                <wp:posOffset>148590</wp:posOffset>
              </wp:positionV>
              <wp:extent cx="3352165" cy="368935"/>
              <wp:effectExtent l="13970" t="5715" r="5715" b="6350"/>
              <wp:wrapSquare wrapText="bothSides"/>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368935"/>
                      </a:xfrm>
                      <a:prstGeom prst="rect">
                        <a:avLst/>
                      </a:prstGeom>
                      <a:solidFill>
                        <a:srgbClr val="FFFFFF"/>
                      </a:solidFill>
                      <a:ln w="9525">
                        <a:solidFill>
                          <a:srgbClr val="FFFFFF"/>
                        </a:solidFill>
                        <a:miter lim="800000"/>
                        <a:headEnd/>
                        <a:tailEnd/>
                      </a:ln>
                    </wps:spPr>
                    <wps:txbx>
                      <w:txbxContent>
                        <w:p w14:paraId="58EBDC03" w14:textId="77777777" w:rsidR="00A44945" w:rsidRPr="00B06D4F" w:rsidRDefault="00A44945" w:rsidP="00A44945">
                          <w:pPr>
                            <w:rPr>
                              <w:b/>
                              <w:color w:val="767171"/>
                              <w:spacing w:val="20"/>
                              <w:sz w:val="24"/>
                              <w:szCs w:val="20"/>
                            </w:rPr>
                          </w:pPr>
                          <w:r w:rsidRPr="00B06D4F">
                            <w:rPr>
                              <w:b/>
                              <w:color w:val="767171"/>
                              <w:spacing w:val="20"/>
                              <w:sz w:val="24"/>
                              <w:szCs w:val="20"/>
                            </w:rPr>
                            <w:t>UPRAVNO VIJEĆE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72FDF" id="_x0000_t202" coordsize="21600,21600" o:spt="202" path="m,l,21600r21600,l21600,xe">
              <v:stroke joinstyle="miter"/>
              <v:path gradientshapeok="t" o:connecttype="rect"/>
            </v:shapetype>
            <v:shape id="Text Box 22" o:spid="_x0000_s1026" type="#_x0000_t202" style="position:absolute;margin-left:257.6pt;margin-top:11.7pt;width:263.95pt;height:29.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" strokecolor="white">
              <v:textbox>
                <w:txbxContent>
                  <w:p w14:paraId="58EBDC03" w14:textId="77777777" w:rsidR="00A44945" w:rsidRPr="00B06D4F" w:rsidRDefault="00A44945" w:rsidP="00A44945">
                    <w:pPr>
                      <w:rPr>
                        <w:b/>
                        <w:color w:val="767171"/>
                        <w:spacing w:val="20"/>
                        <w:sz w:val="24"/>
                        <w:szCs w:val="20"/>
                      </w:rPr>
                    </w:pPr>
                    <w:r w:rsidRPr="00B06D4F">
                      <w:rPr>
                        <w:b/>
                        <w:color w:val="767171"/>
                        <w:spacing w:val="20"/>
                        <w:sz w:val="24"/>
                        <w:szCs w:val="20"/>
                      </w:rPr>
                      <w:t>UPRAVNO VIJEĆE</w:t>
                    </w:r>
                  </w:p>
                </w:txbxContent>
              </v:textbox>
              <w10:wrap type="square"/>
            </v:shape>
          </w:pict>
        </mc:Fallback>
      </mc:AlternateContent>
    </w:r>
    <w:r>
      <w:rPr>
        <w:noProof/>
      </w:rPr>
      <w:drawing>
        <wp:anchor distT="0" distB="0" distL="114300" distR="114300" simplePos="0" relativeHeight="251657728" behindDoc="0" locked="0" layoutInCell="1" allowOverlap="1" wp14:anchorId="4B9443FF" wp14:editId="1A07505C">
          <wp:simplePos x="0" y="0"/>
          <wp:positionH relativeFrom="column">
            <wp:posOffset>-929005</wp:posOffset>
          </wp:positionH>
          <wp:positionV relativeFrom="paragraph">
            <wp:posOffset>-360680</wp:posOffset>
          </wp:positionV>
          <wp:extent cx="7556500" cy="1257935"/>
          <wp:effectExtent l="0" t="0" r="0" b="0"/>
          <wp:wrapNone/>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579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6704" behindDoc="0" locked="0" layoutInCell="1" allowOverlap="1" wp14:anchorId="12015A24" wp14:editId="12433509">
              <wp:simplePos x="0" y="0"/>
              <wp:positionH relativeFrom="column">
                <wp:posOffset>3271520</wp:posOffset>
              </wp:positionH>
              <wp:positionV relativeFrom="paragraph">
                <wp:posOffset>-26670</wp:posOffset>
              </wp:positionV>
              <wp:extent cx="3267075" cy="885825"/>
              <wp:effectExtent l="13970" t="11430" r="5080" b="7620"/>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885825"/>
                      </a:xfrm>
                      <a:prstGeom prst="rect">
                        <a:avLst/>
                      </a:prstGeom>
                      <a:solidFill>
                        <a:srgbClr val="FFFFFF"/>
                      </a:solidFill>
                      <a:ln w="9525">
                        <a:solidFill>
                          <a:srgbClr val="FFFFFF"/>
                        </a:solidFill>
                        <a:miter lim="800000"/>
                        <a:headEnd/>
                        <a:tailEnd/>
                      </a:ln>
                    </wps:spPr>
                    <wps:txbx>
                      <w:txbxContent>
                        <w:p w14:paraId="7F89CCE3" w14:textId="77777777" w:rsidR="002A392A" w:rsidRPr="002A392A" w:rsidRDefault="002A392A" w:rsidP="002A392A">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015A24" id="Tekstni okvir 2" o:spid="_x0000_s1027" type="#_x0000_t202" style="position:absolute;margin-left:257.6pt;margin-top:-2.1pt;width:257.25pt;height:69.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" strokecolor="white">
              <v:textbox>
                <w:txbxContent>
                  <w:p w14:paraId="7F89CCE3" w14:textId="77777777" w:rsidR="002A392A" w:rsidRPr="002A392A" w:rsidRDefault="002A392A" w:rsidP="002A392A">
                    <w:pPr>
                      <w:rPr>
                        <w:sz w:val="20"/>
                        <w:szCs w:val="2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2B32"/>
    <w:multiLevelType w:val="hybridMultilevel"/>
    <w:tmpl w:val="90DA8F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0B956FE"/>
    <w:multiLevelType w:val="hybridMultilevel"/>
    <w:tmpl w:val="0B62EB74"/>
    <w:lvl w:ilvl="0" w:tplc="041A0001">
      <w:start w:val="1"/>
      <w:numFmt w:val="bullet"/>
      <w:lvlText w:val=""/>
      <w:lvlJc w:val="left"/>
      <w:pPr>
        <w:ind w:left="363" w:hanging="360"/>
      </w:pPr>
      <w:rPr>
        <w:rFonts w:ascii="Symbol" w:hAnsi="Symbol" w:hint="default"/>
      </w:rPr>
    </w:lvl>
    <w:lvl w:ilvl="1" w:tplc="041A0003" w:tentative="1">
      <w:start w:val="1"/>
      <w:numFmt w:val="bullet"/>
      <w:lvlText w:val="o"/>
      <w:lvlJc w:val="left"/>
      <w:pPr>
        <w:ind w:left="1083" w:hanging="360"/>
      </w:pPr>
      <w:rPr>
        <w:rFonts w:ascii="Courier New" w:hAnsi="Courier New" w:cs="Courier New" w:hint="default"/>
      </w:rPr>
    </w:lvl>
    <w:lvl w:ilvl="2" w:tplc="041A0005" w:tentative="1">
      <w:start w:val="1"/>
      <w:numFmt w:val="bullet"/>
      <w:lvlText w:val=""/>
      <w:lvlJc w:val="left"/>
      <w:pPr>
        <w:ind w:left="1803" w:hanging="360"/>
      </w:pPr>
      <w:rPr>
        <w:rFonts w:ascii="Wingdings" w:hAnsi="Wingdings" w:hint="default"/>
      </w:rPr>
    </w:lvl>
    <w:lvl w:ilvl="3" w:tplc="041A0001" w:tentative="1">
      <w:start w:val="1"/>
      <w:numFmt w:val="bullet"/>
      <w:lvlText w:val=""/>
      <w:lvlJc w:val="left"/>
      <w:pPr>
        <w:ind w:left="2523" w:hanging="360"/>
      </w:pPr>
      <w:rPr>
        <w:rFonts w:ascii="Symbol" w:hAnsi="Symbol" w:hint="default"/>
      </w:rPr>
    </w:lvl>
    <w:lvl w:ilvl="4" w:tplc="041A0003" w:tentative="1">
      <w:start w:val="1"/>
      <w:numFmt w:val="bullet"/>
      <w:lvlText w:val="o"/>
      <w:lvlJc w:val="left"/>
      <w:pPr>
        <w:ind w:left="3243" w:hanging="360"/>
      </w:pPr>
      <w:rPr>
        <w:rFonts w:ascii="Courier New" w:hAnsi="Courier New" w:cs="Courier New" w:hint="default"/>
      </w:rPr>
    </w:lvl>
    <w:lvl w:ilvl="5" w:tplc="041A0005" w:tentative="1">
      <w:start w:val="1"/>
      <w:numFmt w:val="bullet"/>
      <w:lvlText w:val=""/>
      <w:lvlJc w:val="left"/>
      <w:pPr>
        <w:ind w:left="3963" w:hanging="360"/>
      </w:pPr>
      <w:rPr>
        <w:rFonts w:ascii="Wingdings" w:hAnsi="Wingdings" w:hint="default"/>
      </w:rPr>
    </w:lvl>
    <w:lvl w:ilvl="6" w:tplc="041A0001" w:tentative="1">
      <w:start w:val="1"/>
      <w:numFmt w:val="bullet"/>
      <w:lvlText w:val=""/>
      <w:lvlJc w:val="left"/>
      <w:pPr>
        <w:ind w:left="4683" w:hanging="360"/>
      </w:pPr>
      <w:rPr>
        <w:rFonts w:ascii="Symbol" w:hAnsi="Symbol" w:hint="default"/>
      </w:rPr>
    </w:lvl>
    <w:lvl w:ilvl="7" w:tplc="041A0003" w:tentative="1">
      <w:start w:val="1"/>
      <w:numFmt w:val="bullet"/>
      <w:lvlText w:val="o"/>
      <w:lvlJc w:val="left"/>
      <w:pPr>
        <w:ind w:left="5403" w:hanging="360"/>
      </w:pPr>
      <w:rPr>
        <w:rFonts w:ascii="Courier New" w:hAnsi="Courier New" w:cs="Courier New" w:hint="default"/>
      </w:rPr>
    </w:lvl>
    <w:lvl w:ilvl="8" w:tplc="041A0005" w:tentative="1">
      <w:start w:val="1"/>
      <w:numFmt w:val="bullet"/>
      <w:lvlText w:val=""/>
      <w:lvlJc w:val="left"/>
      <w:pPr>
        <w:ind w:left="6123" w:hanging="360"/>
      </w:pPr>
      <w:rPr>
        <w:rFonts w:ascii="Wingdings" w:hAnsi="Wingdings" w:hint="default"/>
      </w:rPr>
    </w:lvl>
  </w:abstractNum>
  <w:abstractNum w:abstractNumId="2" w15:restartNumberingAfterBreak="0">
    <w:nsid w:val="383F0D91"/>
    <w:multiLevelType w:val="hybridMultilevel"/>
    <w:tmpl w:val="63DEA91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3F264ACF"/>
    <w:multiLevelType w:val="hybridMultilevel"/>
    <w:tmpl w:val="6C0C8E4E"/>
    <w:lvl w:ilvl="0" w:tplc="041A0001">
      <w:start w:val="1"/>
      <w:numFmt w:val="bullet"/>
      <w:lvlText w:val=""/>
      <w:lvlJc w:val="left"/>
      <w:pPr>
        <w:ind w:left="363" w:hanging="360"/>
      </w:pPr>
      <w:rPr>
        <w:rFonts w:ascii="Symbol" w:hAnsi="Symbol" w:hint="default"/>
      </w:rPr>
    </w:lvl>
    <w:lvl w:ilvl="1" w:tplc="041A0003" w:tentative="1">
      <w:start w:val="1"/>
      <w:numFmt w:val="bullet"/>
      <w:lvlText w:val="o"/>
      <w:lvlJc w:val="left"/>
      <w:pPr>
        <w:ind w:left="1083" w:hanging="360"/>
      </w:pPr>
      <w:rPr>
        <w:rFonts w:ascii="Courier New" w:hAnsi="Courier New" w:cs="Courier New" w:hint="default"/>
      </w:rPr>
    </w:lvl>
    <w:lvl w:ilvl="2" w:tplc="041A0005" w:tentative="1">
      <w:start w:val="1"/>
      <w:numFmt w:val="bullet"/>
      <w:lvlText w:val=""/>
      <w:lvlJc w:val="left"/>
      <w:pPr>
        <w:ind w:left="1803" w:hanging="360"/>
      </w:pPr>
      <w:rPr>
        <w:rFonts w:ascii="Wingdings" w:hAnsi="Wingdings" w:hint="default"/>
      </w:rPr>
    </w:lvl>
    <w:lvl w:ilvl="3" w:tplc="041A0001" w:tentative="1">
      <w:start w:val="1"/>
      <w:numFmt w:val="bullet"/>
      <w:lvlText w:val=""/>
      <w:lvlJc w:val="left"/>
      <w:pPr>
        <w:ind w:left="2523" w:hanging="360"/>
      </w:pPr>
      <w:rPr>
        <w:rFonts w:ascii="Symbol" w:hAnsi="Symbol" w:hint="default"/>
      </w:rPr>
    </w:lvl>
    <w:lvl w:ilvl="4" w:tplc="041A0003" w:tentative="1">
      <w:start w:val="1"/>
      <w:numFmt w:val="bullet"/>
      <w:lvlText w:val="o"/>
      <w:lvlJc w:val="left"/>
      <w:pPr>
        <w:ind w:left="3243" w:hanging="360"/>
      </w:pPr>
      <w:rPr>
        <w:rFonts w:ascii="Courier New" w:hAnsi="Courier New" w:cs="Courier New" w:hint="default"/>
      </w:rPr>
    </w:lvl>
    <w:lvl w:ilvl="5" w:tplc="041A0005" w:tentative="1">
      <w:start w:val="1"/>
      <w:numFmt w:val="bullet"/>
      <w:lvlText w:val=""/>
      <w:lvlJc w:val="left"/>
      <w:pPr>
        <w:ind w:left="3963" w:hanging="360"/>
      </w:pPr>
      <w:rPr>
        <w:rFonts w:ascii="Wingdings" w:hAnsi="Wingdings" w:hint="default"/>
      </w:rPr>
    </w:lvl>
    <w:lvl w:ilvl="6" w:tplc="041A0001" w:tentative="1">
      <w:start w:val="1"/>
      <w:numFmt w:val="bullet"/>
      <w:lvlText w:val=""/>
      <w:lvlJc w:val="left"/>
      <w:pPr>
        <w:ind w:left="4683" w:hanging="360"/>
      </w:pPr>
      <w:rPr>
        <w:rFonts w:ascii="Symbol" w:hAnsi="Symbol" w:hint="default"/>
      </w:rPr>
    </w:lvl>
    <w:lvl w:ilvl="7" w:tplc="041A0003" w:tentative="1">
      <w:start w:val="1"/>
      <w:numFmt w:val="bullet"/>
      <w:lvlText w:val="o"/>
      <w:lvlJc w:val="left"/>
      <w:pPr>
        <w:ind w:left="5403" w:hanging="360"/>
      </w:pPr>
      <w:rPr>
        <w:rFonts w:ascii="Courier New" w:hAnsi="Courier New" w:cs="Courier New" w:hint="default"/>
      </w:rPr>
    </w:lvl>
    <w:lvl w:ilvl="8" w:tplc="041A0005" w:tentative="1">
      <w:start w:val="1"/>
      <w:numFmt w:val="bullet"/>
      <w:lvlText w:val=""/>
      <w:lvlJc w:val="left"/>
      <w:pPr>
        <w:ind w:left="6123" w:hanging="360"/>
      </w:pPr>
      <w:rPr>
        <w:rFonts w:ascii="Wingdings" w:hAnsi="Wingdings" w:hint="default"/>
      </w:rPr>
    </w:lvl>
  </w:abstractNum>
  <w:abstractNum w:abstractNumId="4" w15:restartNumberingAfterBreak="0">
    <w:nsid w:val="52E72D23"/>
    <w:multiLevelType w:val="hybridMultilevel"/>
    <w:tmpl w:val="15327FD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5D02685F"/>
    <w:multiLevelType w:val="hybridMultilevel"/>
    <w:tmpl w:val="813424E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FF54967"/>
    <w:multiLevelType w:val="hybridMultilevel"/>
    <w:tmpl w:val="5FFA6A80"/>
    <w:lvl w:ilvl="0" w:tplc="041A0001">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num w:numId="1" w16cid:durableId="421417739">
    <w:abstractNumId w:val="0"/>
  </w:num>
  <w:num w:numId="2" w16cid:durableId="1725907155">
    <w:abstractNumId w:val="5"/>
  </w:num>
  <w:num w:numId="3" w16cid:durableId="2076850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560397">
    <w:abstractNumId w:val="6"/>
  </w:num>
  <w:num w:numId="5" w16cid:durableId="1947302518">
    <w:abstractNumId w:val="2"/>
  </w:num>
  <w:num w:numId="6" w16cid:durableId="1497914229">
    <w:abstractNumId w:val="1"/>
  </w:num>
  <w:num w:numId="7" w16cid:durableId="1946426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B7"/>
    <w:rsid w:val="00004EB0"/>
    <w:rsid w:val="00017536"/>
    <w:rsid w:val="000806EB"/>
    <w:rsid w:val="00094905"/>
    <w:rsid w:val="000F52CE"/>
    <w:rsid w:val="0010687D"/>
    <w:rsid w:val="001702F7"/>
    <w:rsid w:val="00190F91"/>
    <w:rsid w:val="00193404"/>
    <w:rsid w:val="001B48D4"/>
    <w:rsid w:val="001D687F"/>
    <w:rsid w:val="001F0C7A"/>
    <w:rsid w:val="001F187D"/>
    <w:rsid w:val="0020158F"/>
    <w:rsid w:val="00223654"/>
    <w:rsid w:val="002402C6"/>
    <w:rsid w:val="002559B4"/>
    <w:rsid w:val="00291132"/>
    <w:rsid w:val="00293856"/>
    <w:rsid w:val="002A392A"/>
    <w:rsid w:val="003248DF"/>
    <w:rsid w:val="003331AB"/>
    <w:rsid w:val="00361D55"/>
    <w:rsid w:val="003700D8"/>
    <w:rsid w:val="00373912"/>
    <w:rsid w:val="003B0C2F"/>
    <w:rsid w:val="003C15FC"/>
    <w:rsid w:val="003E27CD"/>
    <w:rsid w:val="004463CD"/>
    <w:rsid w:val="005625F9"/>
    <w:rsid w:val="00577F5B"/>
    <w:rsid w:val="00647677"/>
    <w:rsid w:val="00682C88"/>
    <w:rsid w:val="006A59FF"/>
    <w:rsid w:val="006B5441"/>
    <w:rsid w:val="006B6199"/>
    <w:rsid w:val="006B6C86"/>
    <w:rsid w:val="006D7257"/>
    <w:rsid w:val="006F6FC8"/>
    <w:rsid w:val="00705180"/>
    <w:rsid w:val="007645BE"/>
    <w:rsid w:val="00764C59"/>
    <w:rsid w:val="0079298C"/>
    <w:rsid w:val="007A40C1"/>
    <w:rsid w:val="007E4857"/>
    <w:rsid w:val="00850485"/>
    <w:rsid w:val="0085408E"/>
    <w:rsid w:val="008658C4"/>
    <w:rsid w:val="00883700"/>
    <w:rsid w:val="00893BDB"/>
    <w:rsid w:val="00896AAE"/>
    <w:rsid w:val="008A38B2"/>
    <w:rsid w:val="008B4CD0"/>
    <w:rsid w:val="008F56E1"/>
    <w:rsid w:val="00903488"/>
    <w:rsid w:val="00916147"/>
    <w:rsid w:val="00973387"/>
    <w:rsid w:val="009D31B1"/>
    <w:rsid w:val="00A06A46"/>
    <w:rsid w:val="00A27107"/>
    <w:rsid w:val="00A44945"/>
    <w:rsid w:val="00A9470B"/>
    <w:rsid w:val="00AC2500"/>
    <w:rsid w:val="00AE45B1"/>
    <w:rsid w:val="00B157DC"/>
    <w:rsid w:val="00B62959"/>
    <w:rsid w:val="00B744C4"/>
    <w:rsid w:val="00BE6702"/>
    <w:rsid w:val="00BE70D2"/>
    <w:rsid w:val="00BF18B8"/>
    <w:rsid w:val="00C143B7"/>
    <w:rsid w:val="00C566AC"/>
    <w:rsid w:val="00C74A80"/>
    <w:rsid w:val="00C90AE0"/>
    <w:rsid w:val="00CF2858"/>
    <w:rsid w:val="00D13754"/>
    <w:rsid w:val="00D158DB"/>
    <w:rsid w:val="00D47313"/>
    <w:rsid w:val="00D52E4E"/>
    <w:rsid w:val="00D97F11"/>
    <w:rsid w:val="00DA4C17"/>
    <w:rsid w:val="00DB0117"/>
    <w:rsid w:val="00E071F5"/>
    <w:rsid w:val="00E07592"/>
    <w:rsid w:val="00E26889"/>
    <w:rsid w:val="00E45267"/>
    <w:rsid w:val="00E868F6"/>
    <w:rsid w:val="00EC2A7E"/>
    <w:rsid w:val="00ED3566"/>
    <w:rsid w:val="00F42CE5"/>
    <w:rsid w:val="00F537F5"/>
    <w:rsid w:val="00F736BC"/>
    <w:rsid w:val="00F93204"/>
    <w:rsid w:val="00FA66F3"/>
    <w:rsid w:val="00FB2F94"/>
    <w:rsid w:val="00FE37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51E66"/>
  <w15:chartTrackingRefBased/>
  <w15:docId w15:val="{C9538CA1-4909-40B6-8069-58EE5B7C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hr-HR" w:eastAsia="hr-HR"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158DB"/>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143B7"/>
    <w:rPr>
      <w:rFonts w:ascii="Tahoma" w:hAnsi="Tahoma" w:cs="Tahoma"/>
      <w:sz w:val="16"/>
      <w:szCs w:val="16"/>
    </w:rPr>
  </w:style>
  <w:style w:type="character" w:customStyle="1" w:styleId="TekstbaloniaChar">
    <w:name w:val="Tekst balončića Char"/>
    <w:link w:val="Tekstbalonia"/>
    <w:uiPriority w:val="99"/>
    <w:semiHidden/>
    <w:rsid w:val="00C143B7"/>
    <w:rPr>
      <w:rFonts w:ascii="Tahoma" w:hAnsi="Tahoma" w:cs="Tahoma"/>
      <w:sz w:val="16"/>
      <w:szCs w:val="16"/>
    </w:rPr>
  </w:style>
  <w:style w:type="paragraph" w:styleId="Zaglavlje">
    <w:name w:val="header"/>
    <w:basedOn w:val="Normal"/>
    <w:link w:val="ZaglavljeChar"/>
    <w:uiPriority w:val="99"/>
    <w:unhideWhenUsed/>
    <w:rsid w:val="00C143B7"/>
    <w:pPr>
      <w:tabs>
        <w:tab w:val="center" w:pos="4536"/>
        <w:tab w:val="right" w:pos="9072"/>
      </w:tabs>
    </w:pPr>
  </w:style>
  <w:style w:type="character" w:customStyle="1" w:styleId="ZaglavljeChar">
    <w:name w:val="Zaglavlje Char"/>
    <w:basedOn w:val="Zadanifontodlomka"/>
    <w:link w:val="Zaglavlje"/>
    <w:uiPriority w:val="99"/>
    <w:rsid w:val="00C143B7"/>
  </w:style>
  <w:style w:type="paragraph" w:styleId="Podnoje">
    <w:name w:val="footer"/>
    <w:basedOn w:val="Normal"/>
    <w:link w:val="PodnojeChar"/>
    <w:uiPriority w:val="99"/>
    <w:unhideWhenUsed/>
    <w:rsid w:val="00C143B7"/>
    <w:pPr>
      <w:tabs>
        <w:tab w:val="center" w:pos="4536"/>
        <w:tab w:val="right" w:pos="9072"/>
      </w:tabs>
    </w:pPr>
  </w:style>
  <w:style w:type="character" w:customStyle="1" w:styleId="PodnojeChar">
    <w:name w:val="Podnožje Char"/>
    <w:basedOn w:val="Zadanifontodlomka"/>
    <w:link w:val="Podnoje"/>
    <w:uiPriority w:val="99"/>
    <w:rsid w:val="00C143B7"/>
  </w:style>
  <w:style w:type="table" w:styleId="Reetkatablice">
    <w:name w:val="Table Grid"/>
    <w:basedOn w:val="Obinatablica"/>
    <w:uiPriority w:val="59"/>
    <w:locked/>
    <w:rsid w:val="003B0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unhideWhenUsed/>
    <w:rsid w:val="006D7257"/>
    <w:rPr>
      <w:color w:val="0563C1"/>
      <w:u w:val="single"/>
    </w:rPr>
  </w:style>
  <w:style w:type="character" w:styleId="Nerijeenospominjanje">
    <w:name w:val="Unresolved Mention"/>
    <w:uiPriority w:val="99"/>
    <w:semiHidden/>
    <w:unhideWhenUsed/>
    <w:rsid w:val="006D7257"/>
    <w:rPr>
      <w:color w:val="605E5C"/>
      <w:shd w:val="clear" w:color="auto" w:fill="E1DFDD"/>
    </w:rPr>
  </w:style>
  <w:style w:type="paragraph" w:styleId="Bezproreda">
    <w:name w:val="No Spacing"/>
    <w:uiPriority w:val="1"/>
    <w:qFormat/>
    <w:rsid w:val="00893BDB"/>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3157">
      <w:bodyDiv w:val="1"/>
      <w:marLeft w:val="0"/>
      <w:marRight w:val="0"/>
      <w:marTop w:val="0"/>
      <w:marBottom w:val="0"/>
      <w:divBdr>
        <w:top w:val="none" w:sz="0" w:space="0" w:color="auto"/>
        <w:left w:val="none" w:sz="0" w:space="0" w:color="auto"/>
        <w:bottom w:val="none" w:sz="0" w:space="0" w:color="auto"/>
        <w:right w:val="none" w:sz="0" w:space="0" w:color="auto"/>
      </w:divBdr>
    </w:div>
    <w:div w:id="501437559">
      <w:bodyDiv w:val="1"/>
      <w:marLeft w:val="0"/>
      <w:marRight w:val="0"/>
      <w:marTop w:val="0"/>
      <w:marBottom w:val="0"/>
      <w:divBdr>
        <w:top w:val="none" w:sz="0" w:space="0" w:color="auto"/>
        <w:left w:val="none" w:sz="0" w:space="0" w:color="auto"/>
        <w:bottom w:val="none" w:sz="0" w:space="0" w:color="auto"/>
        <w:right w:val="none" w:sz="0" w:space="0" w:color="auto"/>
      </w:divBdr>
    </w:div>
    <w:div w:id="1064838755">
      <w:bodyDiv w:val="1"/>
      <w:marLeft w:val="0"/>
      <w:marRight w:val="0"/>
      <w:marTop w:val="0"/>
      <w:marBottom w:val="0"/>
      <w:divBdr>
        <w:top w:val="none" w:sz="0" w:space="0" w:color="auto"/>
        <w:left w:val="none" w:sz="0" w:space="0" w:color="auto"/>
        <w:bottom w:val="none" w:sz="0" w:space="0" w:color="auto"/>
        <w:right w:val="none" w:sz="0" w:space="0" w:color="auto"/>
      </w:divBdr>
    </w:div>
    <w:div w:id="1167477520">
      <w:bodyDiv w:val="1"/>
      <w:marLeft w:val="0"/>
      <w:marRight w:val="0"/>
      <w:marTop w:val="0"/>
      <w:marBottom w:val="0"/>
      <w:divBdr>
        <w:top w:val="none" w:sz="0" w:space="0" w:color="auto"/>
        <w:left w:val="none" w:sz="0" w:space="0" w:color="auto"/>
        <w:bottom w:val="none" w:sz="0" w:space="0" w:color="auto"/>
        <w:right w:val="none" w:sz="0" w:space="0" w:color="auto"/>
      </w:divBdr>
    </w:div>
    <w:div w:id="1440636483">
      <w:bodyDiv w:val="1"/>
      <w:marLeft w:val="0"/>
      <w:marRight w:val="0"/>
      <w:marTop w:val="0"/>
      <w:marBottom w:val="0"/>
      <w:divBdr>
        <w:top w:val="none" w:sz="0" w:space="0" w:color="auto"/>
        <w:left w:val="none" w:sz="0" w:space="0" w:color="auto"/>
        <w:bottom w:val="none" w:sz="0" w:space="0" w:color="auto"/>
        <w:right w:val="none" w:sz="0" w:space="0" w:color="auto"/>
      </w:divBdr>
    </w:div>
    <w:div w:id="205056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ustav upravljanja - dokumenti" ma:contentTypeID="0x010100663A81144D1C4F41AF9B7E48C536FCD2000ACA978B31D2714C954DC6B64E512987" ma:contentTypeVersion="7" ma:contentTypeDescription="Create a new document." ma:contentTypeScope="" ma:versionID="66de4b087506cdc3f241eb8eb16648d5">
  <xsd:schema xmlns:xsd="http://www.w3.org/2001/XMLSchema" xmlns:xs="http://www.w3.org/2001/XMLSchema" xmlns:p="http://schemas.microsoft.com/office/2006/metadata/properties" xmlns:ns2="d260904c-ee56-46e5-a90d-3f62e7a45972" targetNamespace="http://schemas.microsoft.com/office/2006/metadata/properties" ma:root="true" ma:fieldsID="9c75276bbb60b827ebc2983a75d6bd6e" ns2:_="">
    <xsd:import namespace="d260904c-ee56-46e5-a90d-3f62e7a45972"/>
    <xsd:element name="properties">
      <xsd:complexType>
        <xsd:sequence>
          <xsd:element name="documentManagement">
            <xsd:complexType>
              <xsd:all>
                <xsd:element ref="ns2:Oznaka" minOccurs="0"/>
                <xsd:element ref="ns2:Stara_x0020_oznaka" minOccurs="0"/>
                <xsd:element ref="ns2:Izdanje" minOccurs="0"/>
                <xsd:element ref="ns2:Datum_x0020_odobravanja" minOccurs="0"/>
                <xsd:element ref="ns2:Tip_x0020_dokumen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0904c-ee56-46e5-a90d-3f62e7a45972" elementFormDefault="qualified">
    <xsd:import namespace="http://schemas.microsoft.com/office/2006/documentManagement/types"/>
    <xsd:import namespace="http://schemas.microsoft.com/office/infopath/2007/PartnerControls"/>
    <xsd:element name="Oznaka" ma:index="8" nillable="true" ma:displayName="Oznaka" ma:internalName="Oznaka0">
      <xsd:simpleType>
        <xsd:restriction base="dms:Text">
          <xsd:maxLength value="255"/>
        </xsd:restriction>
      </xsd:simpleType>
    </xsd:element>
    <xsd:element name="Stara_x0020_oznaka" ma:index="9" nillable="true" ma:displayName="Stara oznaka" ma:internalName="Stara_x0020_oznaka0">
      <xsd:simpleType>
        <xsd:restriction base="dms:Text">
          <xsd:maxLength value="255"/>
        </xsd:restriction>
      </xsd:simpleType>
    </xsd:element>
    <xsd:element name="Izdanje" ma:index="10" nillable="true" ma:displayName="Izdanje" ma:internalName="Izdanje0">
      <xsd:simpleType>
        <xsd:restriction base="dms:Text">
          <xsd:maxLength value="255"/>
        </xsd:restriction>
      </xsd:simpleType>
    </xsd:element>
    <xsd:element name="Datum_x0020_odobravanja" ma:index="11" nillable="true" ma:displayName="Datum odobravanja" ma:format="DateOnly" ma:internalName="Datum_x0020_odobravanja0">
      <xsd:simpleType>
        <xsd:restriction base="dms:DateTime"/>
      </xsd:simpleType>
    </xsd:element>
    <xsd:element name="Tip_x0020_dokumenta" ma:index="12" nillable="true" ma:displayName="Tip dokumenta" ma:default="Unesite odabir br. 1" ma:format="Dropdown" ma:internalName="Tip_x0020_dokumenta0">
      <xsd:simpleType>
        <xsd:restriction base="dms:Choice">
          <xsd:enumeration value="Unesite odabir br. 1"/>
          <xsd:enumeration value="Unesite odabir br. 2"/>
          <xsd:enumeration value="Unesite odabir br.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zi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znaka xmlns="d260904c-ee56-46e5-a90d-3f62e7a45972" xsi:nil="true"/>
    <Datum_x0020_odobravanja xmlns="d260904c-ee56-46e5-a90d-3f62e7a45972" xsi:nil="true"/>
    <Tip_x0020_dokumenta xmlns="d260904c-ee56-46e5-a90d-3f62e7a45972">Unesite odabir br. 1</Tip_x0020_dokumenta>
    <Izdanje xmlns="d260904c-ee56-46e5-a90d-3f62e7a45972" xsi:nil="true"/>
    <Stara_x0020_oznaka xmlns="d260904c-ee56-46e5-a90d-3f62e7a4597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163EC-C42C-4440-89C2-4752FF092C2D}">
  <ds:schemaRefs>
    <ds:schemaRef ds:uri="http://schemas.openxmlformats.org/officeDocument/2006/bibliography"/>
  </ds:schemaRefs>
</ds:datastoreItem>
</file>

<file path=customXml/itemProps2.xml><?xml version="1.0" encoding="utf-8"?>
<ds:datastoreItem xmlns:ds="http://schemas.openxmlformats.org/officeDocument/2006/customXml" ds:itemID="{472C80F7-5FA9-4B8D-81A2-D611373B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0904c-ee56-46e5-a90d-3f62e7a45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DE8EE-5FCE-4AFC-9747-5CE0651A7214}">
  <ds:schemaRefs>
    <ds:schemaRef ds:uri="http://schemas.microsoft.com/office/2006/metadata/properties"/>
    <ds:schemaRef ds:uri="http://schemas.microsoft.com/office/infopath/2007/PartnerControls"/>
    <ds:schemaRef ds:uri="d260904c-ee56-46e5-a90d-3f62e7a45972"/>
  </ds:schemaRefs>
</ds:datastoreItem>
</file>

<file path=customXml/itemProps4.xml><?xml version="1.0" encoding="utf-8"?>
<ds:datastoreItem xmlns:ds="http://schemas.openxmlformats.org/officeDocument/2006/customXml" ds:itemID="{2370732D-4232-4259-BB3B-D7FA86B8E5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1069</Words>
  <Characters>6097</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gsubasic</dc:creator>
  <cp:keywords/>
  <cp:lastModifiedBy>Ana Mikuš</cp:lastModifiedBy>
  <cp:revision>5</cp:revision>
  <cp:lastPrinted>2014-07-04T08:32:00Z</cp:lastPrinted>
  <dcterms:created xsi:type="dcterms:W3CDTF">2025-04-18T08:27:00Z</dcterms:created>
  <dcterms:modified xsi:type="dcterms:W3CDTF">2025-04-18T08:33:00Z</dcterms:modified>
</cp:coreProperties>
</file>