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F9" w:rsidRPr="00B44E69" w:rsidRDefault="006B5FF9" w:rsidP="006B5FF9">
      <w:pPr>
        <w:pBdr>
          <w:bottom w:val="single" w:sz="12" w:space="1" w:color="auto"/>
        </w:pBdr>
        <w:spacing w:before="1080" w:after="480" w:line="276" w:lineRule="auto"/>
        <w:jc w:val="center"/>
        <w:rPr>
          <w:rFonts w:cs="Levenim MT"/>
          <w:b/>
          <w:caps/>
          <w:sz w:val="40"/>
          <w:szCs w:val="40"/>
        </w:rPr>
      </w:pPr>
    </w:p>
    <w:p w:rsidR="00AA1964" w:rsidRPr="00B44E69" w:rsidRDefault="00786DCB" w:rsidP="00AA1964">
      <w:pPr>
        <w:pBdr>
          <w:bottom w:val="single" w:sz="12" w:space="1" w:color="auto"/>
        </w:pBdr>
        <w:spacing w:before="1680" w:after="480" w:line="276" w:lineRule="auto"/>
        <w:jc w:val="center"/>
        <w:rPr>
          <w:rFonts w:cs="Levenim MT"/>
          <w:b/>
          <w:caps/>
          <w:sz w:val="40"/>
          <w:szCs w:val="40"/>
        </w:rPr>
      </w:pPr>
      <w:r w:rsidRPr="00B44E69">
        <w:rPr>
          <w:rFonts w:cs="Levenim MT"/>
          <w:b/>
          <w:caps/>
          <w:sz w:val="40"/>
          <w:szCs w:val="40"/>
        </w:rPr>
        <w:t xml:space="preserve">Bilješke uz financijske izvještaje </w:t>
      </w:r>
      <w:r w:rsidRPr="00B44E69">
        <w:rPr>
          <w:rFonts w:cs="Levenim MT"/>
          <w:b/>
          <w:caps/>
          <w:sz w:val="40"/>
          <w:szCs w:val="40"/>
        </w:rPr>
        <w:br/>
        <w:t>za razdoblje 01.01.-31.12.201</w:t>
      </w:r>
      <w:r w:rsidR="00AA1964" w:rsidRPr="00B44E69">
        <w:rPr>
          <w:rFonts w:cs="Levenim MT"/>
          <w:b/>
          <w:caps/>
          <w:sz w:val="40"/>
          <w:szCs w:val="40"/>
        </w:rPr>
        <w:t>5</w:t>
      </w:r>
      <w:r w:rsidRPr="00B44E69">
        <w:rPr>
          <w:rFonts w:cs="Levenim MT"/>
          <w:b/>
          <w:caps/>
          <w:sz w:val="40"/>
          <w:szCs w:val="40"/>
        </w:rPr>
        <w:t>.</w:t>
      </w:r>
      <w:r w:rsidR="00AA1964" w:rsidRPr="00B44E69">
        <w:rPr>
          <w:rFonts w:cs="Levenim MT"/>
          <w:b/>
          <w:caps/>
          <w:sz w:val="40"/>
          <w:szCs w:val="40"/>
        </w:rPr>
        <w:br/>
      </w:r>
    </w:p>
    <w:p w:rsidR="00AA1964" w:rsidRPr="00B44E69" w:rsidRDefault="00AA1964" w:rsidP="00AA1964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 w:val="32"/>
          <w:szCs w:val="32"/>
          <w:lang w:val="hr-HR"/>
        </w:rPr>
      </w:pPr>
      <w:r w:rsidRPr="00B44E69">
        <w:rPr>
          <w:rFonts w:asciiTheme="minorHAnsi" w:hAnsiTheme="minorHAnsi" w:cs="Levenim MT"/>
          <w:b/>
          <w:sz w:val="32"/>
          <w:szCs w:val="32"/>
          <w:lang w:val="hr-HR"/>
        </w:rPr>
        <w:t>Naziv obveznika: Nastavni zavod za javno zdravstvo Dr. Andrija štampar</w:t>
      </w:r>
    </w:p>
    <w:p w:rsidR="00AA1964" w:rsidRPr="00B44E69" w:rsidRDefault="00AA1964" w:rsidP="00AA1964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 w:val="32"/>
          <w:szCs w:val="32"/>
          <w:lang w:val="hr-HR"/>
        </w:rPr>
      </w:pPr>
      <w:r w:rsidRPr="00B44E69">
        <w:rPr>
          <w:rFonts w:asciiTheme="minorHAnsi" w:hAnsiTheme="minorHAnsi" w:cs="Levenim MT"/>
          <w:b/>
          <w:sz w:val="32"/>
          <w:szCs w:val="32"/>
          <w:lang w:val="hr-HR"/>
        </w:rPr>
        <w:t>Adresa obveznika: Mirogojska cesta 16, 10000 Zagreb</w:t>
      </w:r>
    </w:p>
    <w:p w:rsidR="00AA1964" w:rsidRPr="00B44E69" w:rsidRDefault="00AA1964" w:rsidP="00AA1964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 w:val="32"/>
          <w:szCs w:val="32"/>
          <w:lang w:val="hr-HR"/>
        </w:rPr>
      </w:pPr>
      <w:r w:rsidRPr="00B44E69">
        <w:rPr>
          <w:rFonts w:asciiTheme="minorHAnsi" w:hAnsiTheme="minorHAnsi" w:cs="Levenim MT"/>
          <w:b/>
          <w:sz w:val="32"/>
          <w:szCs w:val="32"/>
          <w:lang w:val="hr-HR"/>
        </w:rPr>
        <w:t>OIB: 33392005961</w:t>
      </w:r>
    </w:p>
    <w:p w:rsidR="00AA1964" w:rsidRPr="00B44E69" w:rsidRDefault="00AA1964" w:rsidP="00AA1964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 w:val="32"/>
          <w:szCs w:val="32"/>
          <w:lang w:val="hr-HR"/>
        </w:rPr>
      </w:pPr>
      <w:r w:rsidRPr="00B44E69">
        <w:rPr>
          <w:rFonts w:asciiTheme="minorHAnsi" w:hAnsiTheme="minorHAnsi" w:cs="Levenim MT"/>
          <w:b/>
          <w:sz w:val="32"/>
          <w:szCs w:val="32"/>
          <w:lang w:val="hr-HR"/>
        </w:rPr>
        <w:t>RKP: 25835</w:t>
      </w:r>
    </w:p>
    <w:p w:rsidR="00AA1964" w:rsidRPr="00B44E69" w:rsidRDefault="00AA1964" w:rsidP="00AA1964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 w:val="32"/>
          <w:szCs w:val="32"/>
          <w:lang w:val="hr-HR"/>
        </w:rPr>
      </w:pPr>
      <w:r w:rsidRPr="00B44E69">
        <w:rPr>
          <w:rFonts w:asciiTheme="minorHAnsi" w:hAnsiTheme="minorHAnsi" w:cs="Levenim MT"/>
          <w:b/>
          <w:sz w:val="32"/>
          <w:szCs w:val="32"/>
          <w:lang w:val="hr-HR"/>
        </w:rPr>
        <w:t>Razina: 31</w:t>
      </w:r>
    </w:p>
    <w:p w:rsidR="00AA1964" w:rsidRPr="00B44E69" w:rsidRDefault="00AA1964" w:rsidP="00AA1964">
      <w:pPr>
        <w:pBdr>
          <w:bottom w:val="single" w:sz="12" w:space="1" w:color="auto"/>
        </w:pBdr>
        <w:spacing w:before="480" w:after="480" w:line="276" w:lineRule="auto"/>
        <w:jc w:val="center"/>
        <w:rPr>
          <w:rFonts w:cs="Levenim MT"/>
          <w:b/>
          <w:caps/>
        </w:rPr>
      </w:pPr>
    </w:p>
    <w:p w:rsidR="00786DCB" w:rsidRPr="00B44E69" w:rsidRDefault="00786DCB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  <w:r w:rsidRPr="00B44E69">
        <w:rPr>
          <w:rFonts w:cs="Microsoft Sans Serif"/>
          <w:b/>
          <w:caps/>
        </w:rPr>
        <w:br w:type="page"/>
      </w:r>
    </w:p>
    <w:p w:rsidR="00786DCB" w:rsidRPr="00B44E69" w:rsidRDefault="00786DCB" w:rsidP="0033500F">
      <w:pPr>
        <w:pStyle w:val="HeaderBase"/>
        <w:spacing w:before="40" w:after="40" w:line="276" w:lineRule="auto"/>
        <w:ind w:firstLine="357"/>
        <w:jc w:val="center"/>
        <w:rPr>
          <w:rFonts w:asciiTheme="minorHAnsi" w:hAnsiTheme="minorHAnsi" w:cs="Levenim MT"/>
          <w:b/>
          <w:sz w:val="24"/>
          <w:szCs w:val="24"/>
          <w:lang w:val="hr-HR"/>
        </w:rPr>
      </w:pPr>
      <w:r w:rsidRPr="00B44E69">
        <w:rPr>
          <w:rFonts w:asciiTheme="minorHAnsi" w:hAnsiTheme="minorHAnsi" w:cs="Levenim MT"/>
          <w:b/>
          <w:sz w:val="24"/>
          <w:szCs w:val="24"/>
          <w:lang w:val="hr-HR"/>
        </w:rPr>
        <w:lastRenderedPageBreak/>
        <w:t>BILJEŠKE UZ FINANCIJSKE IZVJEŠTAJE</w:t>
      </w:r>
      <w:r w:rsidR="006B5FF9" w:rsidRPr="00B44E69">
        <w:rPr>
          <w:rFonts w:asciiTheme="minorHAnsi" w:hAnsiTheme="minorHAnsi" w:cs="Levenim MT"/>
          <w:b/>
          <w:sz w:val="24"/>
          <w:szCs w:val="24"/>
          <w:lang w:val="hr-HR"/>
        </w:rPr>
        <w:t xml:space="preserve"> </w:t>
      </w:r>
      <w:r w:rsidRPr="00B44E69">
        <w:rPr>
          <w:rFonts w:asciiTheme="minorHAnsi" w:hAnsiTheme="minorHAnsi" w:cs="Levenim MT"/>
          <w:b/>
          <w:sz w:val="24"/>
          <w:szCs w:val="24"/>
          <w:lang w:val="hr-HR"/>
        </w:rPr>
        <w:t>ZA RAZDOBLJE 01.01.-31.12.201</w:t>
      </w:r>
      <w:r w:rsidR="00AA1964" w:rsidRPr="00B44E69">
        <w:rPr>
          <w:rFonts w:asciiTheme="minorHAnsi" w:hAnsiTheme="minorHAnsi" w:cs="Levenim MT"/>
          <w:b/>
          <w:sz w:val="24"/>
          <w:szCs w:val="24"/>
          <w:lang w:val="hr-HR"/>
        </w:rPr>
        <w:t>5</w:t>
      </w:r>
    </w:p>
    <w:p w:rsidR="0033500F" w:rsidRPr="00B44E69" w:rsidRDefault="0033500F" w:rsidP="0033500F">
      <w:pPr>
        <w:pStyle w:val="HeaderBase"/>
        <w:spacing w:before="40" w:after="40" w:line="276" w:lineRule="auto"/>
        <w:ind w:firstLine="357"/>
        <w:jc w:val="center"/>
        <w:rPr>
          <w:rFonts w:asciiTheme="minorHAnsi" w:hAnsiTheme="minorHAnsi" w:cs="Levenim MT"/>
          <w:b/>
          <w:sz w:val="24"/>
          <w:szCs w:val="24"/>
          <w:lang w:val="hr-HR"/>
        </w:rPr>
      </w:pPr>
    </w:p>
    <w:p w:rsidR="00786DCB" w:rsidRPr="00B44E69" w:rsidRDefault="00786DCB" w:rsidP="00512A5A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 xml:space="preserve">Financijska izvješća Nastavnog zavoda za javno zdravstvo „Dr. Andrija Štampar“ (u daljnjem tekstu Zavod) sastavljena su sukladno Pravilniku o financijskom izvještavanju u proračunskom računovodstvu (NN </w:t>
      </w:r>
      <w:r w:rsidR="006B5FF9" w:rsidRPr="00B44E69">
        <w:rPr>
          <w:rFonts w:asciiTheme="minorHAnsi" w:hAnsiTheme="minorHAnsi" w:cs="Levenim MT"/>
          <w:szCs w:val="22"/>
          <w:lang w:val="hr-HR"/>
        </w:rPr>
        <w:t>3/15., 93/15.</w:t>
      </w:r>
      <w:r w:rsidRPr="00B44E69">
        <w:rPr>
          <w:rFonts w:asciiTheme="minorHAnsi" w:hAnsiTheme="minorHAnsi" w:cs="Levenim MT"/>
          <w:szCs w:val="22"/>
          <w:lang w:val="hr-HR"/>
        </w:rPr>
        <w:t xml:space="preserve">) </w:t>
      </w:r>
      <w:r w:rsidR="006B5FF9" w:rsidRPr="00B44E69">
        <w:rPr>
          <w:rFonts w:asciiTheme="minorHAnsi" w:hAnsiTheme="minorHAnsi" w:cs="Levenim MT"/>
          <w:szCs w:val="22"/>
          <w:lang w:val="hr-HR"/>
        </w:rPr>
        <w:t xml:space="preserve">i </w:t>
      </w:r>
      <w:r w:rsidRPr="00B44E69">
        <w:rPr>
          <w:rFonts w:asciiTheme="minorHAnsi" w:hAnsiTheme="minorHAnsi" w:cs="Levenim MT"/>
          <w:szCs w:val="22"/>
          <w:lang w:val="hr-HR"/>
        </w:rPr>
        <w:t>u rokovima koje je objavilo Ministarstvo financija</w:t>
      </w:r>
      <w:r w:rsidR="006B5FF9" w:rsidRPr="00B44E69">
        <w:rPr>
          <w:rFonts w:asciiTheme="minorHAnsi" w:hAnsiTheme="minorHAnsi" w:cs="Levenim MT"/>
          <w:szCs w:val="22"/>
          <w:lang w:val="hr-HR"/>
        </w:rPr>
        <w:t xml:space="preserve"> u Okružnici o predaji i konsolidaciji financijskih izvještaja za razdoblje 01. siječnja do 31. prosinca 2015. godine.</w:t>
      </w:r>
    </w:p>
    <w:p w:rsidR="00786DCB" w:rsidRPr="00B44E69" w:rsidRDefault="00786DCB" w:rsidP="00532BF2">
      <w:pPr>
        <w:pStyle w:val="HeaderBase"/>
        <w:shd w:val="clear" w:color="auto" w:fill="D9E2F3"/>
        <w:spacing w:before="360" w:after="240" w:line="276" w:lineRule="auto"/>
        <w:ind w:firstLine="0"/>
        <w:rPr>
          <w:rFonts w:asciiTheme="minorHAnsi" w:hAnsiTheme="minorHAnsi" w:cs="Levenim MT"/>
          <w:b/>
          <w:szCs w:val="22"/>
          <w:u w:val="single"/>
          <w:lang w:val="hr-HR"/>
        </w:rPr>
      </w:pPr>
      <w:r w:rsidRPr="00B44E69">
        <w:rPr>
          <w:rFonts w:asciiTheme="minorHAnsi" w:hAnsiTheme="minorHAnsi" w:cs="Levenim MT"/>
          <w:b/>
          <w:szCs w:val="22"/>
          <w:u w:val="single"/>
          <w:lang w:val="hr-HR"/>
        </w:rPr>
        <w:t>BILANCA – Obrazac BIL</w:t>
      </w:r>
    </w:p>
    <w:p w:rsidR="00786DCB" w:rsidRPr="00B44E69" w:rsidRDefault="00786DCB" w:rsidP="00512A5A">
      <w:pPr>
        <w:keepLines/>
        <w:tabs>
          <w:tab w:val="center" w:pos="4320"/>
          <w:tab w:val="right" w:pos="8640"/>
        </w:tabs>
        <w:spacing w:before="120" w:after="80" w:line="288" w:lineRule="auto"/>
        <w:jc w:val="both"/>
        <w:rPr>
          <w:rFonts w:cs="Levenim MT"/>
        </w:rPr>
      </w:pPr>
      <w:r w:rsidRPr="00B44E69">
        <w:rPr>
          <w:rFonts w:cs="Levenim MT"/>
          <w:b/>
        </w:rPr>
        <w:t xml:space="preserve">Ukupna imovina </w:t>
      </w:r>
      <w:r w:rsidRPr="00B44E69">
        <w:rPr>
          <w:rFonts w:cs="Levenim MT"/>
        </w:rPr>
        <w:t xml:space="preserve">Zavoda </w:t>
      </w:r>
      <w:r w:rsidRPr="00B44E69">
        <w:rPr>
          <w:rFonts w:cs="Levenim MT"/>
          <w:b/>
        </w:rPr>
        <w:t>(AOP 001)</w:t>
      </w:r>
      <w:r w:rsidRPr="00B44E69">
        <w:rPr>
          <w:rFonts w:cs="Levenim MT"/>
        </w:rPr>
        <w:t xml:space="preserve"> iznosi </w:t>
      </w:r>
      <w:r w:rsidR="00512A5A" w:rsidRPr="00B44E69">
        <w:rPr>
          <w:rFonts w:cs="Levenim MT"/>
        </w:rPr>
        <w:t>101.971.225,23</w:t>
      </w:r>
      <w:r w:rsidRPr="00B44E69">
        <w:rPr>
          <w:rFonts w:cs="Levenim MT"/>
        </w:rPr>
        <w:t xml:space="preserve"> kn</w:t>
      </w:r>
      <w:r w:rsidR="00512A5A" w:rsidRPr="00B44E69">
        <w:rPr>
          <w:rFonts w:cs="Levenim MT"/>
        </w:rPr>
        <w:t xml:space="preserve"> i manja je za 8,10 % u odnosu na stanje prethodnog razdoblja</w:t>
      </w:r>
      <w:r w:rsidRPr="00B44E69">
        <w:rPr>
          <w:rFonts w:cs="Levenim MT"/>
        </w:rPr>
        <w:t xml:space="preserve">. </w:t>
      </w:r>
    </w:p>
    <w:p w:rsidR="00786DCB" w:rsidRPr="00B44E69" w:rsidRDefault="00786DCB" w:rsidP="00512A5A">
      <w:pPr>
        <w:keepLines/>
        <w:tabs>
          <w:tab w:val="center" w:pos="4320"/>
          <w:tab w:val="right" w:pos="8640"/>
        </w:tabs>
        <w:spacing w:before="120" w:after="80" w:line="288" w:lineRule="auto"/>
        <w:jc w:val="both"/>
        <w:rPr>
          <w:rFonts w:cs="Levenim MT"/>
        </w:rPr>
      </w:pPr>
      <w:r w:rsidRPr="00B44E69">
        <w:rPr>
          <w:rFonts w:cs="Levenim MT"/>
          <w:b/>
        </w:rPr>
        <w:t>Nefinancijska imovina</w:t>
      </w:r>
      <w:r w:rsidR="00512A5A" w:rsidRPr="00B44E69">
        <w:rPr>
          <w:rFonts w:cs="Levenim MT"/>
          <w:b/>
        </w:rPr>
        <w:t xml:space="preserve"> (AOP 002)</w:t>
      </w:r>
      <w:r w:rsidRPr="00B44E69">
        <w:rPr>
          <w:rFonts w:cs="Levenim MT"/>
          <w:b/>
        </w:rPr>
        <w:t xml:space="preserve"> </w:t>
      </w:r>
      <w:r w:rsidRPr="00B44E69">
        <w:rPr>
          <w:rFonts w:cs="Levenim MT"/>
        </w:rPr>
        <w:t>na dan 31.12.201</w:t>
      </w:r>
      <w:r w:rsidR="00512A5A" w:rsidRPr="00B44E69">
        <w:rPr>
          <w:rFonts w:cs="Levenim MT"/>
        </w:rPr>
        <w:t>5</w:t>
      </w:r>
      <w:r w:rsidRPr="00B44E69">
        <w:rPr>
          <w:rFonts w:cs="Levenim MT"/>
        </w:rPr>
        <w:t xml:space="preserve">. godine iznosi </w:t>
      </w:r>
      <w:r w:rsidR="00512A5A" w:rsidRPr="00B44E69">
        <w:rPr>
          <w:rFonts w:cs="Levenim MT"/>
        </w:rPr>
        <w:t>64.097.711,54</w:t>
      </w:r>
      <w:r w:rsidR="008B11B0" w:rsidRPr="00B44E69">
        <w:rPr>
          <w:rFonts w:cs="Levenim MT"/>
        </w:rPr>
        <w:t xml:space="preserve"> kn</w:t>
      </w:r>
      <w:r w:rsidR="00C63FBE" w:rsidRPr="00B44E69">
        <w:rPr>
          <w:rFonts w:cs="Levenim MT"/>
        </w:rPr>
        <w:t xml:space="preserve">, </w:t>
      </w:r>
      <w:r w:rsidRPr="00B44E69">
        <w:rPr>
          <w:rFonts w:cs="Levenim MT"/>
        </w:rPr>
        <w:t xml:space="preserve">čini </w:t>
      </w:r>
      <w:r w:rsidR="00F541A3" w:rsidRPr="00B44E69">
        <w:rPr>
          <w:rFonts w:cs="Levenim MT"/>
        </w:rPr>
        <w:t>6</w:t>
      </w:r>
      <w:r w:rsidR="00512A5A" w:rsidRPr="00B44E69">
        <w:rPr>
          <w:rFonts w:cs="Levenim MT"/>
        </w:rPr>
        <w:t>2,86</w:t>
      </w:r>
      <w:r w:rsidRPr="00B44E69">
        <w:rPr>
          <w:rFonts w:cs="Levenim MT"/>
        </w:rPr>
        <w:t>% ukupne imovine</w:t>
      </w:r>
      <w:r w:rsidR="00512A5A" w:rsidRPr="00B44E69">
        <w:rPr>
          <w:rFonts w:cs="Levenim MT"/>
        </w:rPr>
        <w:t xml:space="preserve"> i smanjena </w:t>
      </w:r>
      <w:r w:rsidR="00C63FBE" w:rsidRPr="00B44E69">
        <w:rPr>
          <w:rFonts w:cs="Levenim MT"/>
        </w:rPr>
        <w:t xml:space="preserve">je za </w:t>
      </w:r>
      <w:r w:rsidR="00512A5A" w:rsidRPr="00B44E69">
        <w:rPr>
          <w:rFonts w:cs="Levenim MT"/>
        </w:rPr>
        <w:t>5,0</w:t>
      </w:r>
      <w:r w:rsidR="00C63FBE" w:rsidRPr="00B44E69">
        <w:rPr>
          <w:rFonts w:cs="Levenim MT"/>
        </w:rPr>
        <w:t xml:space="preserve"> % u odnosu na stanje prošle godine</w:t>
      </w:r>
      <w:r w:rsidRPr="00B44E69">
        <w:rPr>
          <w:rFonts w:cs="Levenim MT"/>
        </w:rPr>
        <w:t xml:space="preserve">. </w:t>
      </w:r>
    </w:p>
    <w:p w:rsidR="00786DCB" w:rsidRPr="00B44E69" w:rsidRDefault="00512A5A" w:rsidP="00512A5A">
      <w:pPr>
        <w:keepLines/>
        <w:tabs>
          <w:tab w:val="center" w:pos="4320"/>
          <w:tab w:val="right" w:pos="8640"/>
        </w:tabs>
        <w:spacing w:before="120" w:after="80" w:line="288" w:lineRule="auto"/>
        <w:jc w:val="both"/>
        <w:rPr>
          <w:rFonts w:cs="Levenim MT"/>
        </w:rPr>
      </w:pPr>
      <w:r w:rsidRPr="00B44E69">
        <w:rPr>
          <w:rFonts w:cs="Levenim MT"/>
        </w:rPr>
        <w:t xml:space="preserve">Ulaganja Zavoda u </w:t>
      </w:r>
      <w:r w:rsidR="00786DCB" w:rsidRPr="00B44E69">
        <w:rPr>
          <w:rFonts w:cs="Levenim MT"/>
        </w:rPr>
        <w:t>nefin</w:t>
      </w:r>
      <w:r w:rsidR="003054D1" w:rsidRPr="00B44E69">
        <w:rPr>
          <w:rFonts w:cs="Levenim MT"/>
        </w:rPr>
        <w:t xml:space="preserve">ancijsku imovinu </w:t>
      </w:r>
      <w:r w:rsidRPr="00B44E69">
        <w:rPr>
          <w:rFonts w:cs="Levenim MT"/>
        </w:rPr>
        <w:t xml:space="preserve">u 2015. godini iznosila su ukupno </w:t>
      </w:r>
      <w:r w:rsidR="008E37ED" w:rsidRPr="00B44E69">
        <w:rPr>
          <w:rFonts w:eastAsia="Calibri" w:cs="Microsoft Sans Serif"/>
        </w:rPr>
        <w:t xml:space="preserve">3.652.093,54 kn </w:t>
      </w:r>
      <w:r w:rsidR="008E37ED" w:rsidRPr="00B44E69">
        <w:rPr>
          <w:rFonts w:eastAsia="Calibri" w:cs="Microsoft Sans Serif"/>
        </w:rPr>
        <w:t xml:space="preserve">što je manje za </w:t>
      </w:r>
      <w:r w:rsidR="008E37ED" w:rsidRPr="00B44E69">
        <w:rPr>
          <w:rFonts w:eastAsia="Calibri" w:cs="Microsoft Sans Serif"/>
        </w:rPr>
        <w:t xml:space="preserve">69,5 % </w:t>
      </w:r>
      <w:r w:rsidR="008E37ED" w:rsidRPr="00B44E69">
        <w:rPr>
          <w:rFonts w:eastAsia="Calibri" w:cs="Microsoft Sans Serif"/>
        </w:rPr>
        <w:t xml:space="preserve">u odnosu na ulaganja u 2014. godini. U 2015. godini </w:t>
      </w:r>
      <w:r w:rsidR="003054D1" w:rsidRPr="00B44E69">
        <w:rPr>
          <w:rFonts w:cs="Levenim MT"/>
        </w:rPr>
        <w:t xml:space="preserve">najznačajnija ulaganja </w:t>
      </w:r>
      <w:r w:rsidR="008E37ED" w:rsidRPr="00B44E69">
        <w:rPr>
          <w:rFonts w:cs="Levenim MT"/>
        </w:rPr>
        <w:t xml:space="preserve">su </w:t>
      </w:r>
      <w:r w:rsidR="003054D1" w:rsidRPr="00B44E69">
        <w:rPr>
          <w:rFonts w:cs="Levenim MT"/>
        </w:rPr>
        <w:t>u</w:t>
      </w:r>
      <w:r w:rsidR="008E37ED" w:rsidRPr="00B44E69">
        <w:rPr>
          <w:rFonts w:cs="Levenim MT"/>
        </w:rPr>
        <w:t xml:space="preserve"> nabavu laboratorijske opremu (1.959.891,41kn), </w:t>
      </w:r>
      <w:r w:rsidR="0033500F" w:rsidRPr="00B44E69">
        <w:rPr>
          <w:rFonts w:cs="Levenim MT"/>
        </w:rPr>
        <w:t xml:space="preserve">nabavu </w:t>
      </w:r>
      <w:r w:rsidR="003054D1" w:rsidRPr="00B44E69">
        <w:rPr>
          <w:rFonts w:cs="Levenim MT"/>
        </w:rPr>
        <w:t>računal</w:t>
      </w:r>
      <w:r w:rsidR="008E37ED" w:rsidRPr="00B44E69">
        <w:rPr>
          <w:rFonts w:cs="Levenim MT"/>
        </w:rPr>
        <w:t>a i računalne opreme (614.724,80 kn) i nabavu licenci (576.084,03 kn).</w:t>
      </w:r>
      <w:bookmarkStart w:id="0" w:name="_GoBack"/>
      <w:bookmarkEnd w:id="0"/>
    </w:p>
    <w:p w:rsidR="00786DCB" w:rsidRPr="00B44E69" w:rsidRDefault="00786DCB" w:rsidP="00512A5A">
      <w:pPr>
        <w:keepLines/>
        <w:tabs>
          <w:tab w:val="center" w:pos="4320"/>
          <w:tab w:val="right" w:pos="8640"/>
        </w:tabs>
        <w:spacing w:before="120" w:after="80" w:line="288" w:lineRule="auto"/>
        <w:jc w:val="both"/>
        <w:rPr>
          <w:rFonts w:cs="Levenim MT"/>
        </w:rPr>
      </w:pPr>
      <w:r w:rsidRPr="00B44E69">
        <w:rPr>
          <w:rFonts w:cs="Levenim MT"/>
        </w:rPr>
        <w:t xml:space="preserve">Ispravak vrijednosti dugotrajne nefinancijske imovine evidentiran je sukladno </w:t>
      </w:r>
      <w:r w:rsidR="008E37ED" w:rsidRPr="00B44E69">
        <w:rPr>
          <w:rFonts w:cs="Levenim MT"/>
        </w:rPr>
        <w:t>Pravilniku</w:t>
      </w:r>
      <w:r w:rsidRPr="00B44E69">
        <w:rPr>
          <w:rFonts w:cs="Levenim MT"/>
        </w:rPr>
        <w:t xml:space="preserve"> o proračunskom računovodstvu i računskom planu i prema godišnjim stopama ispravka vrijednosti propisanih istim Pravilnikom. Ukupan iznos ispravka vrijednosti </w:t>
      </w:r>
      <w:r w:rsidR="003054D1" w:rsidRPr="00B44E69">
        <w:rPr>
          <w:rFonts w:cs="Levenim MT"/>
        </w:rPr>
        <w:t>dugotrajne imovine Zavoda u 201</w:t>
      </w:r>
      <w:r w:rsidR="003E6EAF" w:rsidRPr="00B44E69">
        <w:rPr>
          <w:rFonts w:cs="Levenim MT"/>
        </w:rPr>
        <w:t>5</w:t>
      </w:r>
      <w:r w:rsidRPr="00B44E69">
        <w:rPr>
          <w:rFonts w:cs="Levenim MT"/>
        </w:rPr>
        <w:t xml:space="preserve">. godini iznosi </w:t>
      </w:r>
      <w:r w:rsidR="008E37ED" w:rsidRPr="00B44E69">
        <w:rPr>
          <w:rFonts w:cs="Levenim MT"/>
        </w:rPr>
        <w:t>6.860.641,11</w:t>
      </w:r>
      <w:r w:rsidR="003054D1" w:rsidRPr="00B44E69">
        <w:rPr>
          <w:rFonts w:cs="Levenim MT"/>
        </w:rPr>
        <w:t xml:space="preserve"> </w:t>
      </w:r>
      <w:r w:rsidRPr="00B44E69">
        <w:rPr>
          <w:rFonts w:cs="Levenim MT"/>
        </w:rPr>
        <w:t>kn.</w:t>
      </w:r>
    </w:p>
    <w:p w:rsidR="00786DCB" w:rsidRPr="00B44E69" w:rsidRDefault="00786DCB" w:rsidP="00512A5A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b/>
          <w:szCs w:val="22"/>
          <w:lang w:val="hr-HR"/>
        </w:rPr>
        <w:t>Financijska imovina (AOP 0</w:t>
      </w:r>
      <w:r w:rsidR="008E37ED" w:rsidRPr="00B44E69">
        <w:rPr>
          <w:rFonts w:asciiTheme="minorHAnsi" w:hAnsiTheme="minorHAnsi" w:cs="Levenim MT"/>
          <w:b/>
          <w:szCs w:val="22"/>
          <w:lang w:val="hr-HR"/>
        </w:rPr>
        <w:t>63</w:t>
      </w:r>
      <w:r w:rsidRPr="00B44E69">
        <w:rPr>
          <w:rFonts w:asciiTheme="minorHAnsi" w:hAnsiTheme="minorHAnsi" w:cs="Levenim MT"/>
          <w:b/>
          <w:szCs w:val="22"/>
          <w:lang w:val="hr-HR"/>
        </w:rPr>
        <w:t>)</w:t>
      </w:r>
      <w:r w:rsidRPr="00B44E69">
        <w:rPr>
          <w:rFonts w:asciiTheme="minorHAnsi" w:hAnsiTheme="minorHAnsi" w:cs="Levenim MT"/>
          <w:szCs w:val="22"/>
          <w:lang w:val="hr-HR"/>
        </w:rPr>
        <w:t xml:space="preserve"> iznosi </w:t>
      </w:r>
      <w:r w:rsidR="008E37ED" w:rsidRPr="00B44E69">
        <w:rPr>
          <w:rFonts w:asciiTheme="minorHAnsi" w:hAnsiTheme="minorHAnsi" w:cs="Levenim MT"/>
          <w:szCs w:val="22"/>
          <w:lang w:val="hr-HR"/>
        </w:rPr>
        <w:t>37.873</w:t>
      </w:r>
      <w:r w:rsidR="00F541A3" w:rsidRPr="00B44E69">
        <w:rPr>
          <w:rFonts w:asciiTheme="minorHAnsi" w:hAnsiTheme="minorHAnsi" w:cs="Levenim MT"/>
          <w:szCs w:val="22"/>
          <w:lang w:val="hr-HR"/>
        </w:rPr>
        <w:t>.</w:t>
      </w:r>
      <w:r w:rsidR="008E37ED" w:rsidRPr="00B44E69">
        <w:rPr>
          <w:rFonts w:asciiTheme="minorHAnsi" w:hAnsiTheme="minorHAnsi" w:cs="Levenim MT"/>
          <w:szCs w:val="22"/>
          <w:lang w:val="hr-HR"/>
        </w:rPr>
        <w:t>513,69</w:t>
      </w:r>
      <w:r w:rsidRPr="00B44E69">
        <w:rPr>
          <w:rFonts w:asciiTheme="minorHAnsi" w:hAnsiTheme="minorHAnsi" w:cs="Levenim MT"/>
          <w:szCs w:val="22"/>
          <w:lang w:val="hr-HR"/>
        </w:rPr>
        <w:t xml:space="preserve"> kn i predstavlja </w:t>
      </w:r>
      <w:r w:rsidR="00F541A3" w:rsidRPr="00B44E69">
        <w:rPr>
          <w:rFonts w:asciiTheme="minorHAnsi" w:hAnsiTheme="minorHAnsi" w:cs="Levenim MT"/>
          <w:szCs w:val="22"/>
          <w:lang w:val="hr-HR"/>
        </w:rPr>
        <w:t>37,14</w:t>
      </w:r>
      <w:r w:rsidRPr="00B44E69">
        <w:rPr>
          <w:rFonts w:asciiTheme="minorHAnsi" w:hAnsiTheme="minorHAnsi" w:cs="Levenim MT"/>
          <w:szCs w:val="22"/>
          <w:lang w:val="hr-HR"/>
        </w:rPr>
        <w:t>% ukupne imovine Zavoda</w:t>
      </w:r>
      <w:r w:rsidR="008469CA" w:rsidRPr="00B44E69">
        <w:rPr>
          <w:rFonts w:asciiTheme="minorHAnsi" w:hAnsiTheme="minorHAnsi" w:cs="Levenim MT"/>
          <w:szCs w:val="22"/>
          <w:lang w:val="hr-HR"/>
        </w:rPr>
        <w:t xml:space="preserve"> i smanjena je u odnosu na stanje prethodne godine za </w:t>
      </w:r>
      <w:r w:rsidR="00F541A3" w:rsidRPr="00B44E69">
        <w:rPr>
          <w:rFonts w:asciiTheme="minorHAnsi" w:hAnsiTheme="minorHAnsi" w:cs="Levenim MT"/>
          <w:szCs w:val="22"/>
          <w:lang w:val="hr-HR"/>
        </w:rPr>
        <w:t>13,0</w:t>
      </w:r>
      <w:r w:rsidR="008469CA" w:rsidRPr="00B44E69">
        <w:rPr>
          <w:rFonts w:asciiTheme="minorHAnsi" w:hAnsiTheme="minorHAnsi" w:cs="Levenim MT"/>
          <w:szCs w:val="22"/>
          <w:lang w:val="hr-HR"/>
        </w:rPr>
        <w:t>%</w:t>
      </w:r>
      <w:r w:rsidRPr="00B44E69">
        <w:rPr>
          <w:rFonts w:asciiTheme="minorHAnsi" w:hAnsiTheme="minorHAnsi" w:cs="Levenim MT"/>
          <w:szCs w:val="22"/>
          <w:lang w:val="hr-HR"/>
        </w:rPr>
        <w:t>.</w:t>
      </w:r>
    </w:p>
    <w:p w:rsidR="00322819" w:rsidRPr="00B44E69" w:rsidRDefault="00786DCB" w:rsidP="00512A5A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b/>
          <w:szCs w:val="22"/>
          <w:lang w:val="hr-HR"/>
        </w:rPr>
        <w:t>Novac u banci i blagajni (AOP 06</w:t>
      </w:r>
      <w:r w:rsidR="00F541A3" w:rsidRPr="00B44E69">
        <w:rPr>
          <w:rFonts w:asciiTheme="minorHAnsi" w:hAnsiTheme="minorHAnsi" w:cs="Levenim MT"/>
          <w:b/>
          <w:szCs w:val="22"/>
          <w:lang w:val="hr-HR"/>
        </w:rPr>
        <w:t>4</w:t>
      </w:r>
      <w:r w:rsidRPr="00B44E69">
        <w:rPr>
          <w:rFonts w:asciiTheme="minorHAnsi" w:hAnsiTheme="minorHAnsi" w:cs="Levenim MT"/>
          <w:b/>
          <w:szCs w:val="22"/>
          <w:lang w:val="hr-HR"/>
        </w:rPr>
        <w:t>)</w:t>
      </w:r>
      <w:r w:rsidR="008469CA" w:rsidRPr="00B44E69">
        <w:rPr>
          <w:rFonts w:asciiTheme="minorHAnsi" w:hAnsiTheme="minorHAnsi" w:cs="Levenim MT"/>
          <w:szCs w:val="22"/>
          <w:lang w:val="hr-HR"/>
        </w:rPr>
        <w:t xml:space="preserve"> iznosi </w:t>
      </w:r>
      <w:r w:rsidR="00F541A3" w:rsidRPr="00B44E69">
        <w:rPr>
          <w:rFonts w:asciiTheme="minorHAnsi" w:hAnsiTheme="minorHAnsi" w:cs="Levenim MT"/>
          <w:szCs w:val="22"/>
          <w:lang w:val="hr-HR"/>
        </w:rPr>
        <w:t>21.721.025,08</w:t>
      </w:r>
      <w:r w:rsidR="008469CA" w:rsidRPr="00B44E69">
        <w:rPr>
          <w:rFonts w:asciiTheme="minorHAnsi" w:hAnsiTheme="minorHAnsi" w:cs="Levenim MT"/>
          <w:szCs w:val="22"/>
          <w:lang w:val="hr-HR"/>
        </w:rPr>
        <w:t xml:space="preserve"> i </w:t>
      </w:r>
      <w:r w:rsidRPr="00B44E69">
        <w:rPr>
          <w:rFonts w:asciiTheme="minorHAnsi" w:hAnsiTheme="minorHAnsi" w:cs="Levenim MT"/>
          <w:szCs w:val="22"/>
          <w:lang w:val="hr-HR"/>
        </w:rPr>
        <w:t xml:space="preserve">čini </w:t>
      </w:r>
      <w:r w:rsidR="00F541A3" w:rsidRPr="00B44E69">
        <w:rPr>
          <w:rFonts w:asciiTheme="minorHAnsi" w:hAnsiTheme="minorHAnsi" w:cs="Levenim MT"/>
          <w:szCs w:val="22"/>
          <w:lang w:val="hr-HR"/>
        </w:rPr>
        <w:t>57,35</w:t>
      </w:r>
      <w:r w:rsidRPr="00B44E69">
        <w:rPr>
          <w:rFonts w:asciiTheme="minorHAnsi" w:hAnsiTheme="minorHAnsi" w:cs="Levenim MT"/>
          <w:szCs w:val="22"/>
          <w:lang w:val="hr-HR"/>
        </w:rPr>
        <w:t xml:space="preserve">% financijske imovine i </w:t>
      </w:r>
      <w:r w:rsidR="00F541A3" w:rsidRPr="00B44E69">
        <w:rPr>
          <w:rFonts w:asciiTheme="minorHAnsi" w:hAnsiTheme="minorHAnsi" w:cs="Levenim MT"/>
          <w:szCs w:val="22"/>
          <w:lang w:val="hr-HR"/>
        </w:rPr>
        <w:t>21,3</w:t>
      </w:r>
      <w:r w:rsidR="002B1F35" w:rsidRPr="00B44E69">
        <w:rPr>
          <w:rFonts w:asciiTheme="minorHAnsi" w:hAnsiTheme="minorHAnsi" w:cs="Levenim MT"/>
          <w:szCs w:val="22"/>
          <w:lang w:val="hr-HR"/>
        </w:rPr>
        <w:t xml:space="preserve">% ukupne imovine, dok stanje danih </w:t>
      </w:r>
      <w:r w:rsidR="002B1F35" w:rsidRPr="00B44E69">
        <w:rPr>
          <w:rFonts w:asciiTheme="minorHAnsi" w:hAnsiTheme="minorHAnsi" w:cs="Levenim MT"/>
          <w:b/>
          <w:szCs w:val="22"/>
          <w:lang w:val="hr-HR"/>
        </w:rPr>
        <w:t>depozita</w:t>
      </w:r>
      <w:r w:rsidR="002B1F35" w:rsidRPr="00B44E69">
        <w:rPr>
          <w:rFonts w:asciiTheme="minorHAnsi" w:hAnsiTheme="minorHAnsi" w:cs="Levenim MT"/>
          <w:szCs w:val="22"/>
          <w:lang w:val="hr-HR"/>
        </w:rPr>
        <w:t xml:space="preserve"> -</w:t>
      </w:r>
      <w:r w:rsidR="008B11B0" w:rsidRPr="00B44E69">
        <w:rPr>
          <w:rFonts w:asciiTheme="minorHAnsi" w:hAnsiTheme="minorHAnsi" w:cs="Levenim MT"/>
          <w:szCs w:val="22"/>
          <w:lang w:val="hr-HR"/>
        </w:rPr>
        <w:t xml:space="preserve"> </w:t>
      </w:r>
      <w:r w:rsidR="002B1F35" w:rsidRPr="00B44E69">
        <w:rPr>
          <w:rFonts w:asciiTheme="minorHAnsi" w:hAnsiTheme="minorHAnsi" w:cs="Levenim MT"/>
          <w:szCs w:val="22"/>
          <w:lang w:val="hr-HR"/>
        </w:rPr>
        <w:t xml:space="preserve">oročenih sredstava </w:t>
      </w:r>
      <w:r w:rsidR="002B1F35" w:rsidRPr="00B44E69">
        <w:rPr>
          <w:rFonts w:asciiTheme="minorHAnsi" w:hAnsiTheme="minorHAnsi" w:cs="Levenim MT"/>
          <w:b/>
          <w:szCs w:val="22"/>
          <w:lang w:val="hr-HR"/>
        </w:rPr>
        <w:t xml:space="preserve">(AOP 075) </w:t>
      </w:r>
      <w:r w:rsidR="002B1F35" w:rsidRPr="00B44E69">
        <w:rPr>
          <w:rFonts w:asciiTheme="minorHAnsi" w:hAnsiTheme="minorHAnsi" w:cs="Levenim MT"/>
          <w:szCs w:val="22"/>
          <w:lang w:val="hr-HR"/>
        </w:rPr>
        <w:t>na dan</w:t>
      </w:r>
      <w:r w:rsidR="002B1F35" w:rsidRPr="00B44E69">
        <w:rPr>
          <w:rFonts w:asciiTheme="minorHAnsi" w:hAnsiTheme="minorHAnsi" w:cs="Levenim MT"/>
          <w:b/>
          <w:szCs w:val="22"/>
          <w:lang w:val="hr-HR"/>
        </w:rPr>
        <w:t xml:space="preserve"> </w:t>
      </w:r>
      <w:r w:rsidR="002B1F35" w:rsidRPr="00B44E69">
        <w:rPr>
          <w:rFonts w:asciiTheme="minorHAnsi" w:hAnsiTheme="minorHAnsi" w:cs="Levenim MT"/>
          <w:szCs w:val="22"/>
          <w:lang w:val="hr-HR"/>
        </w:rPr>
        <w:t>31.12.2015. godine iznosi 1.000.0</w:t>
      </w:r>
      <w:r w:rsidR="008B11B0" w:rsidRPr="00B44E69">
        <w:rPr>
          <w:rFonts w:asciiTheme="minorHAnsi" w:hAnsiTheme="minorHAnsi" w:cs="Levenim MT"/>
          <w:szCs w:val="22"/>
          <w:lang w:val="hr-HR"/>
        </w:rPr>
        <w:t>0</w:t>
      </w:r>
      <w:r w:rsidR="002B1F35" w:rsidRPr="00B44E69">
        <w:rPr>
          <w:rFonts w:asciiTheme="minorHAnsi" w:hAnsiTheme="minorHAnsi" w:cs="Levenim MT"/>
          <w:szCs w:val="22"/>
          <w:lang w:val="hr-HR"/>
        </w:rPr>
        <w:t>0,00 kn.</w:t>
      </w:r>
    </w:p>
    <w:p w:rsidR="002B1F35" w:rsidRPr="00B44E69" w:rsidRDefault="002B1F35" w:rsidP="00512A5A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>Povećanje stanja novčanih sredstava u banci i blagajni na dan 31.12.2015. u odnosu na stanje 31.12.2014. i smanjenje stanja danih depozita rezultat je razročenja oročenih sredstava u prosincu 2015. godine.</w:t>
      </w:r>
    </w:p>
    <w:p w:rsidR="00437C97" w:rsidRPr="00B44E69" w:rsidRDefault="00786DCB" w:rsidP="00512A5A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b/>
          <w:szCs w:val="22"/>
          <w:lang w:val="hr-HR"/>
        </w:rPr>
        <w:t xml:space="preserve">Potraživanja za prihode poslovanja (AOP </w:t>
      </w:r>
      <w:r w:rsidR="0009370A" w:rsidRPr="00B44E69">
        <w:rPr>
          <w:rFonts w:asciiTheme="minorHAnsi" w:hAnsiTheme="minorHAnsi" w:cs="Levenim MT"/>
          <w:b/>
          <w:szCs w:val="22"/>
          <w:lang w:val="hr-HR"/>
        </w:rPr>
        <w:t>140</w:t>
      </w:r>
      <w:r w:rsidRPr="00B44E69">
        <w:rPr>
          <w:rFonts w:asciiTheme="minorHAnsi" w:hAnsiTheme="minorHAnsi" w:cs="Levenim MT"/>
          <w:b/>
          <w:szCs w:val="22"/>
          <w:lang w:val="hr-HR"/>
        </w:rPr>
        <w:t>)</w:t>
      </w:r>
      <w:r w:rsidRPr="00B44E69">
        <w:rPr>
          <w:rFonts w:asciiTheme="minorHAnsi" w:hAnsiTheme="minorHAnsi" w:cs="Levenim MT"/>
          <w:szCs w:val="22"/>
          <w:lang w:val="hr-HR"/>
        </w:rPr>
        <w:t xml:space="preserve"> iznose </w:t>
      </w:r>
      <w:r w:rsidR="0009370A" w:rsidRPr="00B44E69">
        <w:rPr>
          <w:rFonts w:asciiTheme="minorHAnsi" w:hAnsiTheme="minorHAnsi" w:cs="Levenim MT"/>
          <w:szCs w:val="22"/>
          <w:lang w:val="hr-HR"/>
        </w:rPr>
        <w:t>14.291.794,14</w:t>
      </w:r>
      <w:r w:rsidRPr="00B44E69">
        <w:rPr>
          <w:rFonts w:asciiTheme="minorHAnsi" w:hAnsiTheme="minorHAnsi" w:cs="Levenim MT"/>
          <w:szCs w:val="22"/>
          <w:lang w:val="hr-HR"/>
        </w:rPr>
        <w:t xml:space="preserve"> kn i </w:t>
      </w:r>
      <w:r w:rsidR="001B4177" w:rsidRPr="00B44E69">
        <w:rPr>
          <w:rFonts w:asciiTheme="minorHAnsi" w:hAnsiTheme="minorHAnsi" w:cs="Levenim MT"/>
          <w:szCs w:val="22"/>
          <w:lang w:val="hr-HR"/>
        </w:rPr>
        <w:t xml:space="preserve">manja su </w:t>
      </w:r>
      <w:r w:rsidRPr="00B44E69">
        <w:rPr>
          <w:rFonts w:asciiTheme="minorHAnsi" w:hAnsiTheme="minorHAnsi" w:cs="Levenim MT"/>
          <w:szCs w:val="22"/>
          <w:lang w:val="hr-HR"/>
        </w:rPr>
        <w:t xml:space="preserve">za </w:t>
      </w:r>
      <w:r w:rsidR="0009370A" w:rsidRPr="00B44E69">
        <w:rPr>
          <w:rFonts w:asciiTheme="minorHAnsi" w:hAnsiTheme="minorHAnsi" w:cs="Levenim MT"/>
          <w:szCs w:val="22"/>
          <w:lang w:val="hr-HR"/>
        </w:rPr>
        <w:t>13,2</w:t>
      </w:r>
      <w:r w:rsidRPr="00B44E69">
        <w:rPr>
          <w:rFonts w:asciiTheme="minorHAnsi" w:hAnsiTheme="minorHAnsi" w:cs="Levenim MT"/>
          <w:szCs w:val="22"/>
          <w:lang w:val="hr-HR"/>
        </w:rPr>
        <w:t xml:space="preserve"> % u odnosu na prethodno izvještajno razdoblje. </w:t>
      </w:r>
    </w:p>
    <w:p w:rsidR="00437C97" w:rsidRPr="00B44E69" w:rsidRDefault="00786DCB" w:rsidP="00512A5A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>Od navedenog iznosa na potraživanja za prihode od pruženih usluga (AOP 1</w:t>
      </w:r>
      <w:r w:rsidR="00236025" w:rsidRPr="00B44E69">
        <w:rPr>
          <w:rFonts w:asciiTheme="minorHAnsi" w:hAnsiTheme="minorHAnsi" w:cs="Levenim MT"/>
          <w:szCs w:val="22"/>
          <w:lang w:val="hr-HR"/>
        </w:rPr>
        <w:t>53</w:t>
      </w:r>
      <w:r w:rsidRPr="00B44E69">
        <w:rPr>
          <w:rFonts w:asciiTheme="minorHAnsi" w:hAnsiTheme="minorHAnsi" w:cs="Levenim MT"/>
          <w:szCs w:val="22"/>
          <w:lang w:val="hr-HR"/>
        </w:rPr>
        <w:t xml:space="preserve">) otpada </w:t>
      </w:r>
      <w:r w:rsidR="00236025" w:rsidRPr="00B44E69">
        <w:rPr>
          <w:rFonts w:asciiTheme="minorHAnsi" w:hAnsiTheme="minorHAnsi" w:cs="Levenim MT"/>
          <w:szCs w:val="22"/>
          <w:lang w:val="hr-HR"/>
        </w:rPr>
        <w:t>9.386.656,00 kn ili 65,69 % ukupnih potraživanja za prihode poslovanja.</w:t>
      </w:r>
      <w:r w:rsidRPr="00B44E69">
        <w:rPr>
          <w:rFonts w:asciiTheme="minorHAnsi" w:hAnsiTheme="minorHAnsi" w:cs="Levenim MT"/>
          <w:szCs w:val="22"/>
          <w:lang w:val="hr-HR"/>
        </w:rPr>
        <w:t xml:space="preserve"> </w:t>
      </w:r>
    </w:p>
    <w:p w:rsidR="0033500F" w:rsidRPr="00B44E69" w:rsidRDefault="00786DCB" w:rsidP="00512A5A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>Potraživanja za prihode iz proračuna</w:t>
      </w:r>
      <w:r w:rsidR="00236025" w:rsidRPr="00B44E69">
        <w:rPr>
          <w:rFonts w:asciiTheme="minorHAnsi" w:hAnsiTheme="minorHAnsi" w:cs="Levenim MT"/>
          <w:szCs w:val="22"/>
          <w:lang w:val="hr-HR"/>
        </w:rPr>
        <w:t xml:space="preserve"> (AOP 154)</w:t>
      </w:r>
      <w:r w:rsidRPr="00B44E69">
        <w:rPr>
          <w:rFonts w:asciiTheme="minorHAnsi" w:hAnsiTheme="minorHAnsi" w:cs="Levenim MT"/>
          <w:szCs w:val="22"/>
          <w:lang w:val="hr-HR"/>
        </w:rPr>
        <w:t xml:space="preserve"> na dan 31.12.201</w:t>
      </w:r>
      <w:r w:rsidR="00236025" w:rsidRPr="00B44E69">
        <w:rPr>
          <w:rFonts w:asciiTheme="minorHAnsi" w:hAnsiTheme="minorHAnsi" w:cs="Levenim MT"/>
          <w:szCs w:val="22"/>
          <w:lang w:val="hr-HR"/>
        </w:rPr>
        <w:t>5</w:t>
      </w:r>
      <w:r w:rsidRPr="00B44E69">
        <w:rPr>
          <w:rFonts w:asciiTheme="minorHAnsi" w:hAnsiTheme="minorHAnsi" w:cs="Levenim MT"/>
          <w:szCs w:val="22"/>
          <w:lang w:val="hr-HR"/>
        </w:rPr>
        <w:t xml:space="preserve">. godine iznose </w:t>
      </w:r>
      <w:r w:rsidR="00236025" w:rsidRPr="00B44E69">
        <w:rPr>
          <w:rFonts w:asciiTheme="minorHAnsi" w:hAnsiTheme="minorHAnsi" w:cs="Levenim MT"/>
          <w:szCs w:val="22"/>
          <w:lang w:val="hr-HR"/>
        </w:rPr>
        <w:t xml:space="preserve">4.903.150,08 kn ili 34,31 % </w:t>
      </w:r>
      <w:r w:rsidR="00236025" w:rsidRPr="00B44E69">
        <w:rPr>
          <w:rFonts w:asciiTheme="minorHAnsi" w:hAnsiTheme="minorHAnsi" w:cs="Levenim MT"/>
          <w:szCs w:val="22"/>
          <w:lang w:val="hr-HR"/>
        </w:rPr>
        <w:t>ukupnih potraživanja za prihode poslovanja</w:t>
      </w:r>
      <w:r w:rsidRPr="00B44E69">
        <w:rPr>
          <w:rFonts w:asciiTheme="minorHAnsi" w:hAnsiTheme="minorHAnsi" w:cs="Levenim MT"/>
          <w:szCs w:val="22"/>
          <w:lang w:val="hr-HR"/>
        </w:rPr>
        <w:t>.</w:t>
      </w:r>
      <w:r w:rsidR="00BC3DC2" w:rsidRPr="00B44E69">
        <w:rPr>
          <w:rFonts w:asciiTheme="minorHAnsi" w:hAnsiTheme="minorHAnsi" w:cs="Levenim MT"/>
          <w:szCs w:val="22"/>
          <w:lang w:val="hr-HR"/>
        </w:rPr>
        <w:t xml:space="preserve"> </w:t>
      </w:r>
    </w:p>
    <w:p w:rsidR="00437C97" w:rsidRPr="00B44E69" w:rsidRDefault="00BC3DC2" w:rsidP="00512A5A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>Potraživanja od kupaca na dan 31.12.201</w:t>
      </w:r>
      <w:r w:rsidR="0009370A" w:rsidRPr="00B44E69">
        <w:rPr>
          <w:rFonts w:asciiTheme="minorHAnsi" w:hAnsiTheme="minorHAnsi" w:cs="Levenim MT"/>
          <w:szCs w:val="22"/>
          <w:lang w:val="hr-HR"/>
        </w:rPr>
        <w:t>5</w:t>
      </w:r>
      <w:r w:rsidRPr="00B44E69">
        <w:rPr>
          <w:rFonts w:asciiTheme="minorHAnsi" w:hAnsiTheme="minorHAnsi" w:cs="Levenim MT"/>
          <w:szCs w:val="22"/>
          <w:lang w:val="hr-HR"/>
        </w:rPr>
        <w:t xml:space="preserve">. iznose </w:t>
      </w:r>
      <w:r w:rsidR="0009370A" w:rsidRPr="00B44E69">
        <w:rPr>
          <w:rFonts w:asciiTheme="minorHAnsi" w:hAnsiTheme="minorHAnsi" w:cs="Levenim MT"/>
          <w:szCs w:val="22"/>
          <w:lang w:val="hr-HR"/>
        </w:rPr>
        <w:t>14.284.024,58</w:t>
      </w:r>
      <w:r w:rsidRPr="00B44E69">
        <w:rPr>
          <w:rFonts w:asciiTheme="minorHAnsi" w:hAnsiTheme="minorHAnsi" w:cs="Levenim MT"/>
          <w:szCs w:val="22"/>
          <w:lang w:val="hr-HR"/>
        </w:rPr>
        <w:t xml:space="preserve"> kn.</w:t>
      </w:r>
    </w:p>
    <w:p w:rsidR="00437C97" w:rsidRPr="00B44E69" w:rsidRDefault="00BC3DC2" w:rsidP="00512A5A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 xml:space="preserve">Ukupno dospjela potraživanja </w:t>
      </w:r>
      <w:r w:rsidR="00236025" w:rsidRPr="00B44E69">
        <w:rPr>
          <w:rFonts w:asciiTheme="minorHAnsi" w:hAnsiTheme="minorHAnsi" w:cs="Levenim MT"/>
          <w:szCs w:val="22"/>
          <w:lang w:val="hr-HR"/>
        </w:rPr>
        <w:t xml:space="preserve">(AOP 249) </w:t>
      </w:r>
      <w:r w:rsidRPr="00B44E69">
        <w:rPr>
          <w:rFonts w:asciiTheme="minorHAnsi" w:hAnsiTheme="minorHAnsi" w:cs="Levenim MT"/>
          <w:szCs w:val="22"/>
          <w:lang w:val="hr-HR"/>
        </w:rPr>
        <w:t xml:space="preserve">u izvještajnom razdoblju iznose </w:t>
      </w:r>
      <w:r w:rsidR="0009370A" w:rsidRPr="00B44E69">
        <w:rPr>
          <w:rFonts w:asciiTheme="minorHAnsi" w:hAnsiTheme="minorHAnsi" w:cs="Levenim MT"/>
          <w:szCs w:val="22"/>
          <w:lang w:val="hr-HR"/>
        </w:rPr>
        <w:t>5.384.182,00</w:t>
      </w:r>
      <w:r w:rsidRPr="00B44E69">
        <w:rPr>
          <w:rFonts w:asciiTheme="minorHAnsi" w:hAnsiTheme="minorHAnsi" w:cs="Levenim MT"/>
          <w:szCs w:val="22"/>
          <w:lang w:val="hr-HR"/>
        </w:rPr>
        <w:t xml:space="preserve"> kn ili </w:t>
      </w:r>
      <w:r w:rsidR="00236025" w:rsidRPr="00B44E69">
        <w:rPr>
          <w:rFonts w:asciiTheme="minorHAnsi" w:hAnsiTheme="minorHAnsi" w:cs="Levenim MT"/>
          <w:szCs w:val="22"/>
          <w:lang w:val="hr-HR"/>
        </w:rPr>
        <w:t>37,67</w:t>
      </w:r>
      <w:r w:rsidRPr="00B44E69">
        <w:rPr>
          <w:rFonts w:asciiTheme="minorHAnsi" w:hAnsiTheme="minorHAnsi" w:cs="Levenim MT"/>
          <w:szCs w:val="22"/>
          <w:lang w:val="hr-HR"/>
        </w:rPr>
        <w:t>% ukupnih potraživanja</w:t>
      </w:r>
      <w:r w:rsidR="00236025" w:rsidRPr="00B44E69">
        <w:rPr>
          <w:rFonts w:asciiTheme="minorHAnsi" w:hAnsiTheme="minorHAnsi" w:cs="Levenim MT"/>
          <w:szCs w:val="22"/>
          <w:lang w:val="hr-HR"/>
        </w:rPr>
        <w:t xml:space="preserve"> za prihode poslovanja</w:t>
      </w:r>
      <w:r w:rsidRPr="00B44E69">
        <w:rPr>
          <w:rFonts w:asciiTheme="minorHAnsi" w:hAnsiTheme="minorHAnsi" w:cs="Levenim MT"/>
          <w:szCs w:val="22"/>
          <w:lang w:val="hr-HR"/>
        </w:rPr>
        <w:t xml:space="preserve">. </w:t>
      </w:r>
    </w:p>
    <w:p w:rsidR="00437C97" w:rsidRPr="00B44E69" w:rsidRDefault="00BC3DC2" w:rsidP="00532BF2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lastRenderedPageBreak/>
        <w:t xml:space="preserve">Od ukupnog iznosa potraživanja </w:t>
      </w:r>
      <w:r w:rsidR="00D46E09" w:rsidRPr="00B44E69">
        <w:rPr>
          <w:rFonts w:asciiTheme="minorHAnsi" w:hAnsiTheme="minorHAnsi" w:cs="Levenim MT"/>
          <w:szCs w:val="22"/>
          <w:lang w:val="hr-HR"/>
        </w:rPr>
        <w:t xml:space="preserve">od kupaca </w:t>
      </w:r>
      <w:r w:rsidRPr="00B44E69">
        <w:rPr>
          <w:rFonts w:asciiTheme="minorHAnsi" w:hAnsiTheme="minorHAnsi" w:cs="Levenim MT"/>
          <w:szCs w:val="22"/>
          <w:lang w:val="hr-HR"/>
        </w:rPr>
        <w:t>na nenaplaćena potraživanja nastala do 201</w:t>
      </w:r>
      <w:r w:rsidR="00D46E09" w:rsidRPr="00B44E69">
        <w:rPr>
          <w:rFonts w:asciiTheme="minorHAnsi" w:hAnsiTheme="minorHAnsi" w:cs="Levenim MT"/>
          <w:szCs w:val="22"/>
          <w:lang w:val="hr-HR"/>
        </w:rPr>
        <w:t>5</w:t>
      </w:r>
      <w:r w:rsidRPr="00B44E69">
        <w:rPr>
          <w:rFonts w:asciiTheme="minorHAnsi" w:hAnsiTheme="minorHAnsi" w:cs="Levenim MT"/>
          <w:szCs w:val="22"/>
          <w:lang w:val="hr-HR"/>
        </w:rPr>
        <w:t xml:space="preserve">. godine otpada iznos od </w:t>
      </w:r>
      <w:r w:rsidR="00D46E09" w:rsidRPr="00B44E69">
        <w:rPr>
          <w:rFonts w:asciiTheme="minorHAnsi" w:hAnsiTheme="minorHAnsi" w:cs="Levenim MT"/>
          <w:szCs w:val="22"/>
          <w:lang w:val="hr-HR"/>
        </w:rPr>
        <w:t xml:space="preserve">1.707.418,00 </w:t>
      </w:r>
      <w:r w:rsidRPr="00B44E69">
        <w:rPr>
          <w:rFonts w:asciiTheme="minorHAnsi" w:hAnsiTheme="minorHAnsi" w:cs="Levenim MT"/>
          <w:szCs w:val="22"/>
          <w:lang w:val="hr-HR"/>
        </w:rPr>
        <w:t xml:space="preserve">kn (od toga je </w:t>
      </w:r>
      <w:r w:rsidR="00D46E09" w:rsidRPr="00B44E69">
        <w:rPr>
          <w:rFonts w:asciiTheme="minorHAnsi" w:hAnsiTheme="minorHAnsi" w:cs="Levenim MT"/>
          <w:szCs w:val="22"/>
          <w:lang w:val="hr-HR"/>
        </w:rPr>
        <w:t>1.310.600</w:t>
      </w:r>
      <w:r w:rsidRPr="00B44E69">
        <w:rPr>
          <w:rFonts w:asciiTheme="minorHAnsi" w:hAnsiTheme="minorHAnsi" w:cs="Levenim MT"/>
          <w:szCs w:val="22"/>
          <w:lang w:val="hr-HR"/>
        </w:rPr>
        <w:t xml:space="preserve">,00 kn utuženo), dok se </w:t>
      </w:r>
      <w:r w:rsidR="004F0124" w:rsidRPr="00B44E69">
        <w:rPr>
          <w:rFonts w:asciiTheme="minorHAnsi" w:hAnsiTheme="minorHAnsi" w:cs="Levenim MT"/>
          <w:szCs w:val="22"/>
          <w:lang w:val="hr-HR"/>
        </w:rPr>
        <w:t>iznos nenaplaćenih potraživanja</w:t>
      </w:r>
      <w:r w:rsidRPr="00B44E69">
        <w:rPr>
          <w:rFonts w:asciiTheme="minorHAnsi" w:hAnsiTheme="minorHAnsi" w:cs="Levenim MT"/>
          <w:szCs w:val="22"/>
          <w:lang w:val="hr-HR"/>
        </w:rPr>
        <w:t xml:space="preserve"> od </w:t>
      </w:r>
      <w:r w:rsidR="004F0124" w:rsidRPr="00B44E69">
        <w:rPr>
          <w:rFonts w:asciiTheme="minorHAnsi" w:hAnsiTheme="minorHAnsi" w:cs="Levenim MT"/>
          <w:szCs w:val="22"/>
          <w:lang w:val="hr-HR"/>
        </w:rPr>
        <w:t>12.576.606,</w:t>
      </w:r>
      <w:r w:rsidRPr="00B44E69">
        <w:rPr>
          <w:rFonts w:asciiTheme="minorHAnsi" w:hAnsiTheme="minorHAnsi" w:cs="Levenim MT"/>
          <w:szCs w:val="22"/>
          <w:lang w:val="hr-HR"/>
        </w:rPr>
        <w:t>00 kn odnosi na nenapla</w:t>
      </w:r>
      <w:r w:rsidR="004F0124" w:rsidRPr="00B44E69">
        <w:rPr>
          <w:rFonts w:asciiTheme="minorHAnsi" w:hAnsiTheme="minorHAnsi" w:cs="Levenim MT"/>
          <w:szCs w:val="22"/>
          <w:lang w:val="hr-HR"/>
        </w:rPr>
        <w:t>ćena potraživanja nastala u 2015</w:t>
      </w:r>
      <w:r w:rsidRPr="00B44E69">
        <w:rPr>
          <w:rFonts w:asciiTheme="minorHAnsi" w:hAnsiTheme="minorHAnsi" w:cs="Levenim MT"/>
          <w:szCs w:val="22"/>
          <w:lang w:val="hr-HR"/>
        </w:rPr>
        <w:t>. godini</w:t>
      </w:r>
      <w:r w:rsidR="004F0124" w:rsidRPr="00B44E69">
        <w:rPr>
          <w:rFonts w:asciiTheme="minorHAnsi" w:hAnsiTheme="minorHAnsi" w:cs="Levenim MT"/>
          <w:szCs w:val="22"/>
          <w:lang w:val="hr-HR"/>
        </w:rPr>
        <w:t>.</w:t>
      </w:r>
      <w:r w:rsidR="00D46E09" w:rsidRPr="00B44E69">
        <w:rPr>
          <w:rFonts w:asciiTheme="minorHAnsi" w:hAnsiTheme="minorHAnsi" w:cs="Levenim MT"/>
          <w:szCs w:val="22"/>
          <w:lang w:val="hr-HR"/>
        </w:rPr>
        <w:t xml:space="preserve"> </w:t>
      </w:r>
      <w:r w:rsidR="004F0124" w:rsidRPr="00B44E69">
        <w:rPr>
          <w:rFonts w:asciiTheme="minorHAnsi" w:hAnsiTheme="minorHAnsi" w:cs="Levenim MT"/>
          <w:szCs w:val="22"/>
          <w:lang w:val="hr-HR"/>
        </w:rPr>
        <w:t>(</w:t>
      </w:r>
      <w:r w:rsidR="00D46E09" w:rsidRPr="00B44E69">
        <w:rPr>
          <w:rFonts w:asciiTheme="minorHAnsi" w:hAnsiTheme="minorHAnsi" w:cs="Levenim MT"/>
          <w:szCs w:val="22"/>
          <w:lang w:val="hr-HR"/>
        </w:rPr>
        <w:t>prikazano u tabeli Potraživanja od kupaca prema dospijeću na dan 31.12.201</w:t>
      </w:r>
      <w:r w:rsidR="004F0124" w:rsidRPr="00B44E69">
        <w:rPr>
          <w:rFonts w:asciiTheme="minorHAnsi" w:hAnsiTheme="minorHAnsi" w:cs="Levenim MT"/>
          <w:szCs w:val="22"/>
          <w:lang w:val="hr-HR"/>
        </w:rPr>
        <w:t>5</w:t>
      </w:r>
      <w:r w:rsidR="00D46E09" w:rsidRPr="00B44E69">
        <w:rPr>
          <w:rFonts w:asciiTheme="minorHAnsi" w:hAnsiTheme="minorHAnsi" w:cs="Levenim MT"/>
          <w:szCs w:val="22"/>
          <w:lang w:val="hr-HR"/>
        </w:rPr>
        <w:t>. godine</w:t>
      </w:r>
      <w:r w:rsidR="004F0124" w:rsidRPr="00B44E69">
        <w:rPr>
          <w:rFonts w:asciiTheme="minorHAnsi" w:hAnsiTheme="minorHAnsi" w:cs="Levenim MT"/>
          <w:szCs w:val="22"/>
          <w:lang w:val="hr-HR"/>
        </w:rPr>
        <w:t>)</w:t>
      </w:r>
      <w:r w:rsidRPr="00B44E69">
        <w:rPr>
          <w:rFonts w:asciiTheme="minorHAnsi" w:hAnsiTheme="minorHAnsi" w:cs="Levenim MT"/>
          <w:szCs w:val="22"/>
          <w:lang w:val="hr-HR"/>
        </w:rPr>
        <w:t xml:space="preserve"> </w:t>
      </w:r>
    </w:p>
    <w:p w:rsidR="00BC3DC2" w:rsidRPr="00B44E69" w:rsidRDefault="00BC3DC2" w:rsidP="00532BF2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>Od ukupnog iznosa realiziranih potraživanja koja na dan 31.12.201</w:t>
      </w:r>
      <w:r w:rsidR="004F0124" w:rsidRPr="00B44E69">
        <w:rPr>
          <w:rFonts w:asciiTheme="minorHAnsi" w:hAnsiTheme="minorHAnsi" w:cs="Levenim MT"/>
          <w:szCs w:val="22"/>
          <w:lang w:val="hr-HR"/>
        </w:rPr>
        <w:t>5</w:t>
      </w:r>
      <w:r w:rsidRPr="00B44E69">
        <w:rPr>
          <w:rFonts w:asciiTheme="minorHAnsi" w:hAnsiTheme="minorHAnsi" w:cs="Levenim MT"/>
          <w:szCs w:val="22"/>
          <w:lang w:val="hr-HR"/>
        </w:rPr>
        <w:t xml:space="preserve">. godine iznose </w:t>
      </w:r>
      <w:r w:rsidR="004F0124" w:rsidRPr="00B44E69">
        <w:rPr>
          <w:rFonts w:asciiTheme="minorHAnsi" w:hAnsiTheme="minorHAnsi" w:cs="Levenim MT"/>
          <w:szCs w:val="22"/>
          <w:lang w:val="hr-HR"/>
        </w:rPr>
        <w:t>99.470.526,00</w:t>
      </w:r>
      <w:r w:rsidRPr="00B44E69">
        <w:rPr>
          <w:rFonts w:asciiTheme="minorHAnsi" w:hAnsiTheme="minorHAnsi" w:cs="Levenim MT"/>
          <w:szCs w:val="22"/>
          <w:lang w:val="hr-HR"/>
        </w:rPr>
        <w:t xml:space="preserve"> kn, naplaćeno je </w:t>
      </w:r>
      <w:r w:rsidR="004F0124" w:rsidRPr="00B44E69">
        <w:rPr>
          <w:rFonts w:asciiTheme="minorHAnsi" w:hAnsiTheme="minorHAnsi" w:cs="Levenim MT"/>
          <w:szCs w:val="22"/>
          <w:lang w:val="hr-HR"/>
        </w:rPr>
        <w:t>84.012.440,</w:t>
      </w:r>
      <w:r w:rsidRPr="00B44E69">
        <w:rPr>
          <w:rFonts w:asciiTheme="minorHAnsi" w:hAnsiTheme="minorHAnsi" w:cs="Levenim MT"/>
          <w:szCs w:val="22"/>
          <w:lang w:val="hr-HR"/>
        </w:rPr>
        <w:t xml:space="preserve">00 kn ili </w:t>
      </w:r>
      <w:r w:rsidR="004F0124" w:rsidRPr="00B44E69">
        <w:rPr>
          <w:rFonts w:asciiTheme="minorHAnsi" w:hAnsiTheme="minorHAnsi" w:cs="Levenim MT"/>
          <w:szCs w:val="22"/>
          <w:lang w:val="hr-HR"/>
        </w:rPr>
        <w:t>84,4</w:t>
      </w:r>
      <w:r w:rsidRPr="00B44E69">
        <w:rPr>
          <w:rFonts w:asciiTheme="minorHAnsi" w:hAnsiTheme="minorHAnsi" w:cs="Levenim MT"/>
          <w:szCs w:val="22"/>
          <w:lang w:val="hr-HR"/>
        </w:rPr>
        <w:t xml:space="preserve">% (prikazano u tabeli Potraživanja od kupaca – pregled nastalih i naplaćenih potraživanja prema grupama kupaca), otpisano je </w:t>
      </w:r>
      <w:r w:rsidR="004F0124" w:rsidRPr="00B44E69">
        <w:rPr>
          <w:rFonts w:asciiTheme="minorHAnsi" w:hAnsiTheme="minorHAnsi" w:cs="Levenim MT"/>
          <w:szCs w:val="22"/>
          <w:lang w:val="hr-HR"/>
        </w:rPr>
        <w:t>1.173.792</w:t>
      </w:r>
      <w:r w:rsidRPr="00B44E69">
        <w:rPr>
          <w:rFonts w:asciiTheme="minorHAnsi" w:hAnsiTheme="minorHAnsi" w:cs="Levenim MT"/>
          <w:szCs w:val="22"/>
          <w:lang w:val="hr-HR"/>
        </w:rPr>
        <w:t xml:space="preserve">,00 kn ili </w:t>
      </w:r>
      <w:r w:rsidR="004F0124" w:rsidRPr="00B44E69">
        <w:rPr>
          <w:rFonts w:asciiTheme="minorHAnsi" w:hAnsiTheme="minorHAnsi" w:cs="Levenim MT"/>
          <w:szCs w:val="22"/>
          <w:lang w:val="hr-HR"/>
        </w:rPr>
        <w:t>1,2</w:t>
      </w:r>
      <w:r w:rsidRPr="00B44E69">
        <w:rPr>
          <w:rFonts w:asciiTheme="minorHAnsi" w:hAnsiTheme="minorHAnsi" w:cs="Levenim MT"/>
          <w:szCs w:val="22"/>
          <w:lang w:val="hr-HR"/>
        </w:rPr>
        <w:t xml:space="preserve">%, dok nenaplaćena potraživanja iznose </w:t>
      </w:r>
      <w:r w:rsidR="004F0124" w:rsidRPr="00B44E69">
        <w:rPr>
          <w:rFonts w:asciiTheme="minorHAnsi" w:hAnsiTheme="minorHAnsi" w:cs="Levenim MT"/>
          <w:szCs w:val="22"/>
          <w:lang w:val="hr-HR"/>
        </w:rPr>
        <w:t>14.284.024</w:t>
      </w:r>
      <w:r w:rsidRPr="00B44E69">
        <w:rPr>
          <w:rFonts w:asciiTheme="minorHAnsi" w:hAnsiTheme="minorHAnsi" w:cs="Levenim MT"/>
          <w:szCs w:val="22"/>
          <w:lang w:val="hr-HR"/>
        </w:rPr>
        <w:t xml:space="preserve"> kn ili </w:t>
      </w:r>
      <w:r w:rsidR="004F0124" w:rsidRPr="00B44E69">
        <w:rPr>
          <w:rFonts w:asciiTheme="minorHAnsi" w:hAnsiTheme="minorHAnsi" w:cs="Levenim MT"/>
          <w:szCs w:val="22"/>
          <w:lang w:val="hr-HR"/>
        </w:rPr>
        <w:t>14,4</w:t>
      </w:r>
      <w:r w:rsidRPr="00B44E69">
        <w:rPr>
          <w:rFonts w:asciiTheme="minorHAnsi" w:hAnsiTheme="minorHAnsi" w:cs="Levenim MT"/>
          <w:szCs w:val="22"/>
          <w:lang w:val="hr-HR"/>
        </w:rPr>
        <w:t>%.</w:t>
      </w:r>
    </w:p>
    <w:p w:rsidR="00786DCB" w:rsidRPr="00B44E69" w:rsidRDefault="00786DCB" w:rsidP="00532BF2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 xml:space="preserve">Na </w:t>
      </w:r>
      <w:r w:rsidRPr="00B44E69">
        <w:rPr>
          <w:rFonts w:asciiTheme="minorHAnsi" w:hAnsiTheme="minorHAnsi" w:cs="Levenim MT"/>
          <w:b/>
          <w:szCs w:val="22"/>
          <w:lang w:val="hr-HR"/>
        </w:rPr>
        <w:t xml:space="preserve">AOP </w:t>
      </w:r>
      <w:r w:rsidR="00F541A3" w:rsidRPr="00B44E69">
        <w:rPr>
          <w:rFonts w:asciiTheme="minorHAnsi" w:hAnsiTheme="minorHAnsi" w:cs="Levenim MT"/>
          <w:b/>
          <w:szCs w:val="22"/>
          <w:lang w:val="hr-HR"/>
        </w:rPr>
        <w:t>151</w:t>
      </w:r>
      <w:r w:rsidRPr="00B44E69">
        <w:rPr>
          <w:rFonts w:asciiTheme="minorHAnsi" w:hAnsiTheme="minorHAnsi" w:cs="Levenim MT"/>
          <w:b/>
          <w:szCs w:val="22"/>
          <w:lang w:val="hr-HR"/>
        </w:rPr>
        <w:t xml:space="preserve"> i </w:t>
      </w:r>
      <w:r w:rsidR="00F541A3" w:rsidRPr="00B44E69">
        <w:rPr>
          <w:rFonts w:asciiTheme="minorHAnsi" w:hAnsiTheme="minorHAnsi" w:cs="Levenim MT"/>
          <w:b/>
          <w:szCs w:val="22"/>
          <w:lang w:val="hr-HR"/>
        </w:rPr>
        <w:t>156</w:t>
      </w:r>
      <w:r w:rsidRPr="00B44E69">
        <w:rPr>
          <w:rFonts w:asciiTheme="minorHAnsi" w:hAnsiTheme="minorHAnsi" w:cs="Levenim MT"/>
          <w:szCs w:val="22"/>
          <w:lang w:val="hr-HR"/>
        </w:rPr>
        <w:t xml:space="preserve"> iskazano je potraživanje za novčana sredstva koja su 1998. godine blokirana na računu kod Komercijalne banke. </w:t>
      </w:r>
    </w:p>
    <w:p w:rsidR="0033500F" w:rsidRPr="00B44E69" w:rsidRDefault="00786DCB" w:rsidP="00532BF2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b/>
          <w:caps/>
          <w:szCs w:val="22"/>
          <w:lang w:val="hr-HR"/>
        </w:rPr>
        <w:t>O</w:t>
      </w:r>
      <w:r w:rsidRPr="00B44E69">
        <w:rPr>
          <w:rFonts w:asciiTheme="minorHAnsi" w:hAnsiTheme="minorHAnsi" w:cs="Levenim MT"/>
          <w:b/>
          <w:szCs w:val="22"/>
          <w:lang w:val="hr-HR"/>
        </w:rPr>
        <w:t>bveze (AOP 1</w:t>
      </w:r>
      <w:r w:rsidR="004F0124" w:rsidRPr="00B44E69">
        <w:rPr>
          <w:rFonts w:asciiTheme="minorHAnsi" w:hAnsiTheme="minorHAnsi" w:cs="Levenim MT"/>
          <w:b/>
          <w:szCs w:val="22"/>
          <w:lang w:val="hr-HR"/>
        </w:rPr>
        <w:t>63</w:t>
      </w:r>
      <w:r w:rsidRPr="00B44E69">
        <w:rPr>
          <w:rFonts w:asciiTheme="minorHAnsi" w:hAnsiTheme="minorHAnsi" w:cs="Levenim MT"/>
          <w:b/>
          <w:szCs w:val="22"/>
          <w:lang w:val="hr-HR"/>
        </w:rPr>
        <w:t>)</w:t>
      </w:r>
      <w:r w:rsidRPr="00B44E69">
        <w:rPr>
          <w:rFonts w:asciiTheme="minorHAnsi" w:hAnsiTheme="minorHAnsi" w:cs="Levenim MT"/>
          <w:szCs w:val="22"/>
          <w:lang w:val="hr-HR"/>
        </w:rPr>
        <w:t xml:space="preserve"> čine </w:t>
      </w:r>
      <w:r w:rsidR="004F0124" w:rsidRPr="00B44E69">
        <w:rPr>
          <w:rFonts w:asciiTheme="minorHAnsi" w:hAnsiTheme="minorHAnsi" w:cs="Levenim MT"/>
          <w:szCs w:val="22"/>
          <w:lang w:val="hr-HR"/>
        </w:rPr>
        <w:t xml:space="preserve">9,26 </w:t>
      </w:r>
      <w:r w:rsidRPr="00B44E69">
        <w:rPr>
          <w:rFonts w:asciiTheme="minorHAnsi" w:hAnsiTheme="minorHAnsi" w:cs="Levenim MT"/>
          <w:szCs w:val="22"/>
          <w:lang w:val="hr-HR"/>
        </w:rPr>
        <w:t>% izvora imovine</w:t>
      </w:r>
      <w:r w:rsidR="0033500F" w:rsidRPr="00B44E69">
        <w:rPr>
          <w:rFonts w:asciiTheme="minorHAnsi" w:hAnsiTheme="minorHAnsi" w:cs="Levenim MT"/>
          <w:szCs w:val="22"/>
          <w:lang w:val="hr-HR"/>
        </w:rPr>
        <w:t xml:space="preserve"> i</w:t>
      </w:r>
      <w:r w:rsidRPr="00B44E69">
        <w:rPr>
          <w:rFonts w:asciiTheme="minorHAnsi" w:hAnsiTheme="minorHAnsi" w:cs="Levenim MT"/>
          <w:szCs w:val="22"/>
          <w:lang w:val="hr-HR"/>
        </w:rPr>
        <w:t xml:space="preserve"> iznose </w:t>
      </w:r>
      <w:r w:rsidR="004F0124" w:rsidRPr="00B44E69">
        <w:rPr>
          <w:rFonts w:asciiTheme="minorHAnsi" w:hAnsiTheme="minorHAnsi" w:cs="Levenim MT"/>
          <w:szCs w:val="22"/>
          <w:lang w:val="hr-HR"/>
        </w:rPr>
        <w:t>9.438.727,65 kn. Na dan 31.12.2015 evidentirano je ukupno 1.910.611,00 kn dospjelih obveza.</w:t>
      </w:r>
    </w:p>
    <w:p w:rsidR="00786DCB" w:rsidRPr="00B44E69" w:rsidRDefault="00786DCB" w:rsidP="00532BF2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b/>
          <w:szCs w:val="22"/>
          <w:lang w:val="hr-HR"/>
        </w:rPr>
        <w:t>Vlastiti izvori</w:t>
      </w:r>
      <w:r w:rsidRPr="00B44E69">
        <w:rPr>
          <w:rFonts w:asciiTheme="minorHAnsi" w:hAnsiTheme="minorHAnsi" w:cs="Levenim MT"/>
          <w:b/>
          <w:caps/>
          <w:szCs w:val="22"/>
          <w:lang w:val="hr-HR"/>
        </w:rPr>
        <w:t xml:space="preserve"> </w:t>
      </w:r>
      <w:r w:rsidRPr="00B44E69">
        <w:rPr>
          <w:rFonts w:asciiTheme="minorHAnsi" w:hAnsiTheme="minorHAnsi" w:cs="Levenim MT"/>
          <w:b/>
          <w:szCs w:val="22"/>
          <w:lang w:val="hr-HR"/>
        </w:rPr>
        <w:t>(AOP 2</w:t>
      </w:r>
      <w:r w:rsidR="000A016A" w:rsidRPr="00B44E69">
        <w:rPr>
          <w:rFonts w:asciiTheme="minorHAnsi" w:hAnsiTheme="minorHAnsi" w:cs="Levenim MT"/>
          <w:b/>
          <w:szCs w:val="22"/>
          <w:lang w:val="hr-HR"/>
        </w:rPr>
        <w:t>25</w:t>
      </w:r>
      <w:r w:rsidRPr="00B44E69">
        <w:rPr>
          <w:rFonts w:asciiTheme="minorHAnsi" w:hAnsiTheme="minorHAnsi" w:cs="Levenim MT"/>
          <w:b/>
          <w:szCs w:val="22"/>
          <w:lang w:val="hr-HR"/>
        </w:rPr>
        <w:t>)</w:t>
      </w:r>
      <w:r w:rsidRPr="00B44E69">
        <w:rPr>
          <w:rFonts w:asciiTheme="minorHAnsi" w:hAnsiTheme="minorHAnsi" w:cs="Levenim MT"/>
          <w:szCs w:val="22"/>
          <w:lang w:val="hr-HR"/>
        </w:rPr>
        <w:t xml:space="preserve"> iznose </w:t>
      </w:r>
      <w:r w:rsidR="004F0124" w:rsidRPr="00B44E69">
        <w:rPr>
          <w:rFonts w:asciiTheme="minorHAnsi" w:hAnsiTheme="minorHAnsi" w:cs="Levenim MT"/>
          <w:szCs w:val="22"/>
          <w:lang w:val="hr-HR"/>
        </w:rPr>
        <w:t>92.532.497,58</w:t>
      </w:r>
      <w:r w:rsidRPr="00B44E69">
        <w:rPr>
          <w:rFonts w:asciiTheme="minorHAnsi" w:hAnsiTheme="minorHAnsi" w:cs="Levenim MT"/>
          <w:szCs w:val="22"/>
          <w:lang w:val="hr-HR"/>
        </w:rPr>
        <w:t xml:space="preserve"> kn.</w:t>
      </w:r>
    </w:p>
    <w:p w:rsidR="000A016A" w:rsidRPr="00B44E69" w:rsidRDefault="00786DCB" w:rsidP="00532BF2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b/>
          <w:szCs w:val="22"/>
          <w:lang w:val="hr-HR"/>
        </w:rPr>
        <w:t xml:space="preserve">Višak / manjak prihoda (AOP </w:t>
      </w:r>
      <w:r w:rsidR="000A016A" w:rsidRPr="00B44E69">
        <w:rPr>
          <w:rFonts w:asciiTheme="minorHAnsi" w:hAnsiTheme="minorHAnsi" w:cs="Levenim MT"/>
          <w:b/>
          <w:szCs w:val="22"/>
          <w:lang w:val="hr-HR"/>
        </w:rPr>
        <w:t>233-240</w:t>
      </w:r>
      <w:r w:rsidRPr="00B44E69">
        <w:rPr>
          <w:rFonts w:asciiTheme="minorHAnsi" w:hAnsiTheme="minorHAnsi" w:cs="Levenim MT"/>
          <w:b/>
          <w:szCs w:val="22"/>
          <w:lang w:val="hr-HR"/>
        </w:rPr>
        <w:t>)</w:t>
      </w:r>
      <w:r w:rsidRPr="00B44E69">
        <w:rPr>
          <w:rFonts w:asciiTheme="minorHAnsi" w:hAnsiTheme="minorHAnsi" w:cs="Levenim MT"/>
          <w:szCs w:val="22"/>
          <w:lang w:val="hr-HR"/>
        </w:rPr>
        <w:t xml:space="preserve">; </w:t>
      </w:r>
      <w:r w:rsidR="000A016A" w:rsidRPr="00B44E69">
        <w:rPr>
          <w:rFonts w:asciiTheme="minorHAnsi" w:hAnsiTheme="minorHAnsi" w:cs="Levenim MT"/>
          <w:szCs w:val="22"/>
          <w:lang w:val="hr-HR"/>
        </w:rPr>
        <w:t xml:space="preserve">U 2015. godini Upravno vijeće Zavoda donijelo je Odluku o </w:t>
      </w:r>
      <w:r w:rsidR="000A016A" w:rsidRPr="00B44E69">
        <w:rPr>
          <w:rFonts w:asciiTheme="minorHAnsi" w:hAnsiTheme="minorHAnsi" w:cs="Levenim MT"/>
          <w:szCs w:val="22"/>
          <w:lang w:val="hr-HR"/>
        </w:rPr>
        <w:t>rasporedu viška prihoda</w:t>
      </w:r>
      <w:r w:rsidR="000A016A" w:rsidRPr="00B44E69">
        <w:rPr>
          <w:rFonts w:asciiTheme="minorHAnsi" w:hAnsiTheme="minorHAnsi" w:cs="Levenim MT"/>
          <w:szCs w:val="22"/>
          <w:lang w:val="hr-HR"/>
        </w:rPr>
        <w:t xml:space="preserve"> iz 2014. godine.</w:t>
      </w:r>
    </w:p>
    <w:p w:rsidR="00F253BE" w:rsidRPr="00B44E69" w:rsidRDefault="00F253BE" w:rsidP="00532BF2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>Odlukom o rasporedu viška prihoda Nastavnog zavoda za javno zdravstvo „Dr. Andrija Štampar” u 2014. godini manjak prihoda poslovanja u iznosu od 458.145,05 kn i manjak prihoda od nefinancijske imovine u iznosu 11.766.718,11 kn pokrivaju se u cijelosti iz akumuliranog viška prihoda poslovanja. Višak primitaka od financijske imovine u iznosu 20.224,33 kn uvećava akumulirani iznos viška prihoda. Ukupno raspoloživi iznos viška prihoda poslovanja na dan 31.12.2014. iznosi 5.618.780,63 kn.</w:t>
      </w:r>
    </w:p>
    <w:p w:rsidR="000A016A" w:rsidRPr="00B44E69" w:rsidRDefault="000A016A" w:rsidP="00532BF2">
      <w:pPr>
        <w:spacing w:before="120" w:after="80" w:line="288" w:lineRule="auto"/>
        <w:jc w:val="both"/>
        <w:rPr>
          <w:rFonts w:eastAsia="Times New Roman" w:cs="Microsoft Sans Serif"/>
          <w:bCs/>
          <w:lang w:eastAsia="hr-HR"/>
        </w:rPr>
      </w:pPr>
      <w:r w:rsidRPr="00B44E69">
        <w:rPr>
          <w:rFonts w:cs="Microsoft Sans Serif"/>
          <w:lang w:val="pl-PL"/>
        </w:rPr>
        <w:t xml:space="preserve">U 2015.godini </w:t>
      </w:r>
      <w:r w:rsidR="00397BBF" w:rsidRPr="00B44E69">
        <w:rPr>
          <w:rFonts w:cs="Microsoft Sans Serif"/>
          <w:lang w:val="pl-PL"/>
        </w:rPr>
        <w:t xml:space="preserve">ostvaren je </w:t>
      </w:r>
      <w:r w:rsidR="00532BF2" w:rsidRPr="00B44E69">
        <w:rPr>
          <w:rFonts w:cs="Microsoft Sans Serif"/>
          <w:lang w:val="pl-PL"/>
        </w:rPr>
        <w:t>manjak</w:t>
      </w:r>
      <w:r w:rsidR="00397BBF" w:rsidRPr="00B44E69">
        <w:rPr>
          <w:rFonts w:eastAsia="Calibri" w:cs="Microsoft Sans Serif"/>
        </w:rPr>
        <w:t xml:space="preserve"> prihoda poslovanja </w:t>
      </w:r>
      <w:r w:rsidR="00397BBF" w:rsidRPr="00B44E69">
        <w:rPr>
          <w:rFonts w:eastAsia="Calibri" w:cs="Microsoft Sans Serif"/>
        </w:rPr>
        <w:t>u iznosu</w:t>
      </w:r>
      <w:r w:rsidR="00397BBF" w:rsidRPr="00B44E69">
        <w:rPr>
          <w:rFonts w:eastAsia="Calibri" w:cs="Microsoft Sans Serif"/>
        </w:rPr>
        <w:t xml:space="preserve"> 297.014,56</w:t>
      </w:r>
      <w:r w:rsidR="00532BF2" w:rsidRPr="00B44E69">
        <w:rPr>
          <w:rFonts w:eastAsia="Calibri" w:cs="Microsoft Sans Serif"/>
        </w:rPr>
        <w:t xml:space="preserve"> kn</w:t>
      </w:r>
      <w:r w:rsidR="00397BBF" w:rsidRPr="00B44E69">
        <w:rPr>
          <w:rFonts w:eastAsia="Calibri" w:cs="Microsoft Sans Serif"/>
        </w:rPr>
        <w:t xml:space="preserve">, manjak </w:t>
      </w:r>
      <w:r w:rsidR="00532BF2" w:rsidRPr="00B44E69">
        <w:rPr>
          <w:rFonts w:eastAsia="Calibri" w:cs="Microsoft Sans Serif"/>
        </w:rPr>
        <w:t>prihoda od nefinancijske imovine u iznos</w:t>
      </w:r>
      <w:r w:rsidR="00532BF2" w:rsidRPr="00B44E69">
        <w:rPr>
          <w:rFonts w:eastAsia="Calibri" w:cs="Microsoft Sans Serif"/>
        </w:rPr>
        <w:t>u</w:t>
      </w:r>
      <w:r w:rsidR="00532BF2" w:rsidRPr="00B44E69">
        <w:rPr>
          <w:rFonts w:eastAsia="Calibri" w:cs="Microsoft Sans Serif"/>
        </w:rPr>
        <w:t xml:space="preserve"> 3.579.593,54 kn</w:t>
      </w:r>
      <w:r w:rsidR="00532BF2" w:rsidRPr="00B44E69">
        <w:rPr>
          <w:rFonts w:eastAsia="Calibri" w:cs="Microsoft Sans Serif"/>
        </w:rPr>
        <w:t xml:space="preserve"> i višak primitaka od financijske imovine u iznosu </w:t>
      </w:r>
      <w:r w:rsidR="00532BF2" w:rsidRPr="00B44E69">
        <w:rPr>
          <w:rFonts w:eastAsia="Times New Roman" w:cs="Microsoft Sans Serif"/>
          <w:bCs/>
          <w:lang w:eastAsia="hr-HR"/>
        </w:rPr>
        <w:t>14.121.159,65</w:t>
      </w:r>
      <w:r w:rsidR="00532BF2" w:rsidRPr="00B44E69">
        <w:rPr>
          <w:rFonts w:eastAsia="Times New Roman" w:cs="Microsoft Sans Serif"/>
          <w:bCs/>
          <w:lang w:eastAsia="hr-HR"/>
        </w:rPr>
        <w:t xml:space="preserve"> kn. </w:t>
      </w:r>
      <w:r w:rsidR="00532BF2" w:rsidRPr="00B44E69">
        <w:rPr>
          <w:rFonts w:eastAsia="Times New Roman" w:cs="Microsoft Sans Serif"/>
          <w:bCs/>
          <w:lang w:eastAsia="hr-HR"/>
        </w:rPr>
        <w:t>Raspoloživi iznos viška prihoda na dan 31.12.2015</w:t>
      </w:r>
      <w:r w:rsidR="00532BF2" w:rsidRPr="00B44E69">
        <w:rPr>
          <w:rFonts w:eastAsia="Times New Roman" w:cs="Microsoft Sans Serif"/>
          <w:bCs/>
          <w:lang w:eastAsia="hr-HR"/>
        </w:rPr>
        <w:t xml:space="preserve">. godine iznosi </w:t>
      </w:r>
      <w:r w:rsidR="00532BF2" w:rsidRPr="00B44E69">
        <w:rPr>
          <w:rFonts w:eastAsia="Times New Roman" w:cs="Microsoft Sans Serif"/>
          <w:bCs/>
          <w:lang w:eastAsia="hr-HR"/>
        </w:rPr>
        <w:t>15.863.332,18</w:t>
      </w:r>
      <w:r w:rsidR="00532BF2" w:rsidRPr="00B44E69">
        <w:rPr>
          <w:rFonts w:eastAsia="Times New Roman" w:cs="Microsoft Sans Serif"/>
          <w:bCs/>
          <w:lang w:eastAsia="hr-HR"/>
        </w:rPr>
        <w:t xml:space="preserve"> kn</w:t>
      </w:r>
    </w:p>
    <w:p w:rsidR="00786DCB" w:rsidRPr="00B44E69" w:rsidRDefault="00786DCB" w:rsidP="00532BF2">
      <w:pPr>
        <w:pStyle w:val="HeaderBase"/>
        <w:shd w:val="clear" w:color="auto" w:fill="D9E2F3"/>
        <w:spacing w:before="360" w:after="240" w:line="276" w:lineRule="auto"/>
        <w:ind w:firstLine="0"/>
        <w:rPr>
          <w:rFonts w:asciiTheme="minorHAnsi" w:hAnsiTheme="minorHAnsi" w:cs="Levenim MT"/>
          <w:b/>
          <w:caps/>
          <w:szCs w:val="22"/>
          <w:lang w:val="hr-HR"/>
        </w:rPr>
      </w:pPr>
      <w:r w:rsidRPr="00B44E69">
        <w:rPr>
          <w:rFonts w:asciiTheme="minorHAnsi" w:hAnsiTheme="minorHAnsi" w:cs="Levenim MT"/>
          <w:b/>
          <w:caps/>
          <w:szCs w:val="22"/>
          <w:lang w:val="hr-HR"/>
        </w:rPr>
        <w:t xml:space="preserve">Izvještaj o prihodima i rashodima, primicima i izdacima - </w:t>
      </w:r>
      <w:r w:rsidRPr="00B44E69">
        <w:rPr>
          <w:rFonts w:asciiTheme="minorHAnsi" w:hAnsiTheme="minorHAnsi" w:cs="Levenim MT"/>
          <w:b/>
          <w:szCs w:val="22"/>
          <w:lang w:val="hr-HR"/>
        </w:rPr>
        <w:t xml:space="preserve">Obrazac </w:t>
      </w:r>
      <w:r w:rsidRPr="00B44E69">
        <w:rPr>
          <w:rFonts w:asciiTheme="minorHAnsi" w:hAnsiTheme="minorHAnsi" w:cs="Levenim MT"/>
          <w:b/>
          <w:caps/>
          <w:szCs w:val="22"/>
          <w:lang w:val="hr-HR"/>
        </w:rPr>
        <w:t>PR-RAS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eastAsia="Calibri" w:cs="Microsoft Sans Serif"/>
          <w:highlight w:val="darkCyan"/>
          <w:u w:val="single"/>
        </w:rPr>
      </w:pPr>
      <w:r w:rsidRPr="00B44E69">
        <w:rPr>
          <w:rFonts w:eastAsia="Calibri" w:cs="Microsoft Sans Serif"/>
          <w:b/>
        </w:rPr>
        <w:t>Prihodi poslovanja (AOP 001)</w:t>
      </w:r>
      <w:r w:rsidRPr="00B44E69">
        <w:rPr>
          <w:rFonts w:eastAsia="Calibri" w:cs="Microsoft Sans Serif"/>
        </w:rPr>
        <w:t xml:space="preserve"> u izvještajnom razdoblju iznose 85.836.890,96 kn i ostvareni su s 95,65% u odnosu na godišnji plan prihoda poslovanja Zavoda, odnosno 4,35 % manje od plana za izvještajno razdoblje i 3,34 % manje od ostvarenja istog razdoblja prošle godine.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 xml:space="preserve">Pomoći od subjekata unutar općeg proračuna (AOP 047) </w:t>
      </w:r>
      <w:r w:rsidRPr="00B44E69">
        <w:rPr>
          <w:rFonts w:eastAsia="Calibri" w:cs="Microsoft Sans Serif"/>
        </w:rPr>
        <w:t>u izvještajnom razdoblju iznose 812.797,89 kn i ostvarene su s 108,37% u odnosu na godišnji plan prihoda poslovanja Zavoda, a čine 0,95% ukupnih prihoda poslovanja.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cs="Microsoft Sans Serif"/>
        </w:rPr>
      </w:pPr>
      <w:r w:rsidRPr="00B44E69">
        <w:rPr>
          <w:rFonts w:cs="Microsoft Sans Serif"/>
          <w:b/>
        </w:rPr>
        <w:t>Tekuće pomoći od izvanproračunskih korisnika (AOP 060)</w:t>
      </w:r>
      <w:r w:rsidRPr="00B44E69">
        <w:rPr>
          <w:rFonts w:cs="Microsoft Sans Serif"/>
        </w:rPr>
        <w:t xml:space="preserve"> ostvarene su u iznosu </w:t>
      </w:r>
      <w:r w:rsidRPr="00B44E69">
        <w:rPr>
          <w:rFonts w:eastAsia="Calibri" w:cs="Microsoft Sans Serif"/>
        </w:rPr>
        <w:t>85.445,41 kn, a odnose se na financiranje pripravničkog staža zdravstvenih radnika. Hrvatski zavod za zdravstveno osiguranje je do 31.12.2015. godine refundirao isplaćene plaće zaključno s plaćom za listopad 2015. godine. Na dan 31.12.2015. godine u Zavodu su zaposlena tri zdravstvena radnika – pripravnika čiji pripravnički staž financira Hrvatski zavod za zdravstveno osiguranje.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cs="Microsoft Sans Serif"/>
        </w:rPr>
      </w:pPr>
      <w:r w:rsidRPr="00B44E69">
        <w:rPr>
          <w:rFonts w:cs="Microsoft Sans Serif"/>
          <w:b/>
        </w:rPr>
        <w:lastRenderedPageBreak/>
        <w:t>Tekuće p</w:t>
      </w:r>
      <w:r w:rsidR="009A317C" w:rsidRPr="00B44E69">
        <w:rPr>
          <w:rFonts w:cs="Microsoft Sans Serif"/>
          <w:b/>
        </w:rPr>
        <w:t>omoći proračunskom korisnicima iz proračuna koji im nije nadležan (AOP 066)</w:t>
      </w:r>
      <w:r w:rsidR="009A317C" w:rsidRPr="00B44E69">
        <w:rPr>
          <w:rFonts w:cs="Microsoft Sans Serif"/>
        </w:rPr>
        <w:t xml:space="preserve"> iznose u 2015. godini 717.342,48 kn. Odnosi se na pomoći doznačene iz proračuna Ministarstva zdravlja, Ministarstva poljoprivrede i Hrvatske agencije za hranu.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cs="Microsoft Sans Serif"/>
        </w:rPr>
      </w:pPr>
      <w:r w:rsidRPr="00B44E69">
        <w:rPr>
          <w:rFonts w:cs="Microsoft Sans Serif"/>
        </w:rPr>
        <w:t>Ministarstvo zdravlja financira dio djelatnosti prevencije i izvanbolničkog liječenja ovisnosti; prema ugovoru o financijskoj potpori projektu „Prevencija ovisnosti, izvanbolničko liječenje i zaštita mentalnog zdravlja“ ostvaren je prihod u iznosu 400.000,</w:t>
      </w:r>
      <w:r w:rsidR="009A317C" w:rsidRPr="00B44E69">
        <w:rPr>
          <w:rFonts w:cs="Microsoft Sans Serif"/>
        </w:rPr>
        <w:t xml:space="preserve">00 kn. </w:t>
      </w:r>
      <w:r w:rsidRPr="00B44E69">
        <w:rPr>
          <w:rFonts w:cs="Microsoft Sans Serif"/>
        </w:rPr>
        <w:t xml:space="preserve">Ministarstvo zdravlja refundiralo je nastale troškove za </w:t>
      </w:r>
      <w:r w:rsidRPr="00B44E69">
        <w:t>provođenje dodatne zdravstvene zaštite izvan uobičajene svakodnevne organizacije rada na zahtjev Kriznog stožera radi osiguravanja provođenja mjera za zaštitu od zaraznih bolesti i zaštitu zdravlja tražitelja azila i azilanata, stranaca pod privremenom zaštitom i stranaca pod supsidijarnom zaštitom u ukupnom iznosu 75.464,79 kn.</w:t>
      </w:r>
    </w:p>
    <w:p w:rsidR="009A317C" w:rsidRPr="00B44E69" w:rsidRDefault="006B5FF9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</w:rPr>
        <w:t xml:space="preserve">U 2015. godini realiziran je Program sufinanciranja ovlaštenih referentnih laboratorija za hranu i hranu za životinje Ministarstva poljoprivrede u iznosu 62.877,79 kn. </w:t>
      </w:r>
      <w:r w:rsidR="009A317C" w:rsidRPr="00B44E69">
        <w:rPr>
          <w:rFonts w:eastAsia="Calibri" w:cs="Microsoft Sans Serif"/>
        </w:rPr>
        <w:t>Ugovor o isplati novčanih sredstava za izradu projektne dokumentacije za osnivanje Centra za sigurnost i kvalitetu hrane od strane Ministarstva poljoprivrede realiziran je u iznosu 149.000,00 kn.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</w:rPr>
        <w:t>Hrvatska agencija za hranu financirala je izvršenje usluga za projekt „određivanje aflatoksina M1 u svježem sirovom mlijeku iz ml</w:t>
      </w:r>
      <w:r w:rsidR="009A317C" w:rsidRPr="00B44E69">
        <w:rPr>
          <w:rFonts w:eastAsia="Calibri" w:cs="Microsoft Sans Serif"/>
        </w:rPr>
        <w:t>j</w:t>
      </w:r>
      <w:r w:rsidRPr="00B44E69">
        <w:rPr>
          <w:rFonts w:eastAsia="Calibri" w:cs="Microsoft Sans Serif"/>
        </w:rPr>
        <w:t>ekomata u iznosu 40.000,00 kn.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>Prihodi od financijske imovine</w:t>
      </w:r>
      <w:r w:rsidR="008B11B0" w:rsidRPr="00B44E69">
        <w:rPr>
          <w:rFonts w:eastAsia="Calibri" w:cs="Microsoft Sans Serif"/>
          <w:b/>
        </w:rPr>
        <w:t xml:space="preserve"> </w:t>
      </w:r>
      <w:r w:rsidR="009A317C" w:rsidRPr="00B44E69">
        <w:rPr>
          <w:rFonts w:eastAsia="Calibri" w:cs="Microsoft Sans Serif"/>
          <w:b/>
        </w:rPr>
        <w:t>(AOP 072</w:t>
      </w:r>
      <w:r w:rsidR="008B11B0" w:rsidRPr="00B44E69">
        <w:rPr>
          <w:rFonts w:eastAsia="Calibri" w:cs="Microsoft Sans Serif"/>
          <w:b/>
        </w:rPr>
        <w:t>)</w:t>
      </w:r>
      <w:r w:rsidRPr="00B44E69">
        <w:rPr>
          <w:rFonts w:eastAsia="Calibri" w:cs="Microsoft Sans Serif"/>
        </w:rPr>
        <w:t xml:space="preserve"> u izvještajnom razdoblju iznose ukupno 257.350,78 kn, čine 0,30 % ukupnih prihoda, a odnose se na prihod od kamata na depozite po viđenju u iznosu 2.620,10 kn, kamate na oročena sredstva u iznosu 218.809,10 kn, prihode od pozitivnih tečajnih razlika u iznosu 10.272,45 kn i zateznih kamata u iznosu 25.649,14 kn.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 xml:space="preserve">Prihodi od nefinancijske imovine </w:t>
      </w:r>
      <w:r w:rsidR="009A317C" w:rsidRPr="00B44E69">
        <w:rPr>
          <w:rFonts w:eastAsia="Calibri" w:cs="Microsoft Sans Serif"/>
          <w:b/>
        </w:rPr>
        <w:t xml:space="preserve">(AOP 080) </w:t>
      </w:r>
      <w:r w:rsidRPr="00B44E69">
        <w:rPr>
          <w:rFonts w:eastAsia="Calibri" w:cs="Microsoft Sans Serif"/>
        </w:rPr>
        <w:t>u izvještajnom razdoblju iznose 320.460,93 kn i ostvareni su s 98,60% u odnosu na godišnji plan prihoda poslovanja Zavoda. Prihodi od nefinancijske imovine čine 0,37% ukupnih prihoda poslovanja.</w:t>
      </w:r>
      <w:r w:rsidR="009A317C" w:rsidRPr="00B44E69">
        <w:rPr>
          <w:rFonts w:eastAsia="Calibri" w:cs="Microsoft Sans Serif"/>
        </w:rPr>
        <w:t xml:space="preserve"> </w:t>
      </w:r>
      <w:r w:rsidRPr="00B44E69">
        <w:rPr>
          <w:rFonts w:eastAsia="Calibri" w:cs="Microsoft Sans Serif"/>
        </w:rPr>
        <w:t>Prihodi od nefinancijske imovine odnose se na prihode koji su naplaćeni od poslovnih subjekata koji u dijelu svog poslovanja koriste prostor i resurse Zavoda</w:t>
      </w:r>
      <w:r w:rsidR="008C09F4" w:rsidRPr="00B44E69">
        <w:rPr>
          <w:rFonts w:eastAsia="Calibri" w:cs="Microsoft Sans Serif"/>
        </w:rPr>
        <w:t>, prihode od naplate</w:t>
      </w:r>
      <w:r w:rsidRPr="00B44E69">
        <w:rPr>
          <w:rFonts w:eastAsia="Calibri" w:cs="Microsoft Sans Serif"/>
        </w:rPr>
        <w:t xml:space="preserve"> pristojbi i sudskih troškova po utuženim potraživanjima,</w:t>
      </w:r>
      <w:r w:rsidR="008C09F4" w:rsidRPr="00B44E69">
        <w:rPr>
          <w:rFonts w:eastAsia="Calibri" w:cs="Microsoft Sans Serif"/>
        </w:rPr>
        <w:t xml:space="preserve"> prihode od</w:t>
      </w:r>
      <w:r w:rsidRPr="00B44E69">
        <w:rPr>
          <w:rFonts w:eastAsia="Calibri" w:cs="Microsoft Sans Serif"/>
        </w:rPr>
        <w:t xml:space="preserve"> obustava u korist Zavoda, te prihoda od usklađenja prava na odbitak pretporeza prema godišnjem obračunu poreza na dodanu vrijednost.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>Prihodi po posebnim propisima, ostali nespomenuti prihod</w:t>
      </w:r>
      <w:r w:rsidR="009A317C" w:rsidRPr="00B44E69">
        <w:rPr>
          <w:rFonts w:eastAsia="Calibri" w:cs="Microsoft Sans Serif"/>
          <w:b/>
        </w:rPr>
        <w:t xml:space="preserve">i (AOP 113) </w:t>
      </w:r>
      <w:r w:rsidRPr="00B44E69">
        <w:rPr>
          <w:rFonts w:eastAsia="Calibri" w:cs="Microsoft Sans Serif"/>
        </w:rPr>
        <w:t xml:space="preserve">iznose 963.912,37 kn i ostvareni su s 116,13% u odnosu na godišnji plan prihoda poslovanja Zavoda. Prihodi po posebnim propisima čine 1,12 </w:t>
      </w:r>
      <w:r w:rsidR="009A317C" w:rsidRPr="00B44E69">
        <w:rPr>
          <w:rFonts w:eastAsia="Calibri" w:cs="Microsoft Sans Serif"/>
        </w:rPr>
        <w:t xml:space="preserve">% ukupnih prihoda poslovanja. </w:t>
      </w:r>
      <w:r w:rsidRPr="00B44E69">
        <w:rPr>
          <w:rFonts w:eastAsia="Calibri" w:cs="Microsoft Sans Serif"/>
        </w:rPr>
        <w:t>U okviru prihoda po posebnim propisima evidentirani su prihodi ostvareni od naplaćene participacije za obavljene mikrobiološke usluge u iznosu 489.977,30 kn, prihodi od refundacija šteta u iznosu 66.856,34 i prihodi od Hrvatskog zavoda za zapošljavanje za pokriće rashoda za doprinose za radnike na stručnom osposobljavanju u iznosu 410.078,73</w:t>
      </w:r>
      <w:r w:rsidR="009A317C" w:rsidRPr="00B44E69">
        <w:rPr>
          <w:rFonts w:eastAsia="Calibri" w:cs="Microsoft Sans Serif"/>
        </w:rPr>
        <w:t xml:space="preserve"> kn u cjelokupno doznačenom iznosu, bez priznavanja vremenskih razgraničenja</w:t>
      </w:r>
      <w:r w:rsidR="0084389C" w:rsidRPr="00B44E69">
        <w:rPr>
          <w:rFonts w:eastAsia="Calibri" w:cs="Microsoft Sans Serif"/>
        </w:rPr>
        <w:t>.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>Prihodi od pruženih usluga</w:t>
      </w:r>
      <w:r w:rsidR="008E37ED" w:rsidRPr="00B44E69">
        <w:rPr>
          <w:rFonts w:eastAsia="Calibri" w:cs="Microsoft Sans Serif"/>
          <w:b/>
        </w:rPr>
        <w:t xml:space="preserve"> (</w:t>
      </w:r>
      <w:r w:rsidR="0084389C" w:rsidRPr="00B44E69">
        <w:rPr>
          <w:rFonts w:eastAsia="Calibri" w:cs="Microsoft Sans Serif"/>
          <w:b/>
        </w:rPr>
        <w:t xml:space="preserve">AOP 123) </w:t>
      </w:r>
      <w:r w:rsidRPr="00B44E69">
        <w:rPr>
          <w:rFonts w:eastAsia="Calibri" w:cs="Microsoft Sans Serif"/>
        </w:rPr>
        <w:t>u izvještajnom razdoblju iznose 45.814.612,26 kn i ostvareni su s 93,89% u odnosu na godišnji plan prihoda poslovanja Zavoda. Prihodi od pruženih usluga čine 53,37% ukupnih prihoda po</w:t>
      </w:r>
      <w:r w:rsidR="008C09F4" w:rsidRPr="00B44E69">
        <w:rPr>
          <w:rFonts w:eastAsia="Calibri" w:cs="Microsoft Sans Serif"/>
        </w:rPr>
        <w:t>slovanja; o</w:t>
      </w:r>
      <w:r w:rsidRPr="00B44E69">
        <w:rPr>
          <w:rFonts w:eastAsia="Calibri" w:cs="Microsoft Sans Serif"/>
        </w:rPr>
        <w:t>stvareni su 6,11 % manje od plana za izvještajno razdoblje i 10,20 % više od ostvarenja istog razdoblja prošle godine. Na ovaj račun, sukladno uputama Gradskog ureda za financije, evidentirani su i prihodi ostvareni temeljem ugovora s Gradom Zagrebom izuzev onih koji su financirani temeljem direktnih doznaka (prijenosa) iz proračuna.</w:t>
      </w:r>
    </w:p>
    <w:p w:rsidR="006B5FF9" w:rsidRPr="00B44E69" w:rsidRDefault="0084389C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lastRenderedPageBreak/>
        <w:t xml:space="preserve">Donacije od pravnih </w:t>
      </w:r>
      <w:r w:rsidR="006B5FF9" w:rsidRPr="00B44E69">
        <w:rPr>
          <w:rFonts w:eastAsia="Calibri" w:cs="Microsoft Sans Serif"/>
          <w:b/>
        </w:rPr>
        <w:t>osoba</w:t>
      </w:r>
      <w:r w:rsidRPr="00B44E69">
        <w:rPr>
          <w:rFonts w:eastAsia="Calibri" w:cs="Microsoft Sans Serif"/>
          <w:b/>
        </w:rPr>
        <w:t xml:space="preserve"> (AOP 124); u</w:t>
      </w:r>
      <w:r w:rsidR="006B5FF9" w:rsidRPr="00B44E69">
        <w:rPr>
          <w:rFonts w:eastAsia="Calibri" w:cs="Microsoft Sans Serif"/>
        </w:rPr>
        <w:t xml:space="preserve"> izvještajnom razdoblju ostvaren je prihod od tekućih donacija od pravnih osoba u iznosu 9.628,80 kn, prihod od donacija čini 0,01% ukupnih prihoda poslovanja, a odnosi se na pokriće troškova za službeni put.</w:t>
      </w:r>
    </w:p>
    <w:p w:rsidR="006D3FFE" w:rsidRPr="00B44E69" w:rsidRDefault="006B5FF9" w:rsidP="00F253BE">
      <w:pPr>
        <w:spacing w:before="120" w:after="80" w:line="288" w:lineRule="auto"/>
        <w:jc w:val="both"/>
        <w:rPr>
          <w:rFonts w:cs="Microsoft Sans Serif"/>
        </w:rPr>
      </w:pPr>
      <w:r w:rsidRPr="00B44E69">
        <w:rPr>
          <w:rFonts w:eastAsia="Calibri" w:cs="Microsoft Sans Serif"/>
          <w:b/>
        </w:rPr>
        <w:t xml:space="preserve">Prihodi za financiranje rashoda poslovanja </w:t>
      </w:r>
      <w:r w:rsidR="0084389C" w:rsidRPr="00B44E69">
        <w:rPr>
          <w:rFonts w:eastAsia="Calibri" w:cs="Microsoft Sans Serif"/>
          <w:b/>
        </w:rPr>
        <w:t xml:space="preserve">(AOP 129) </w:t>
      </w:r>
      <w:r w:rsidRPr="00B44E69">
        <w:rPr>
          <w:rFonts w:eastAsia="Calibri" w:cs="Microsoft Sans Serif"/>
        </w:rPr>
        <w:t>iznose 770.187,50 kn i ostvareni su s 96,27% u odnosu na godišnji plan prihoda poslovanja Zavoda. Prihodi za financiranje rashoda poslovanja čine 0,90% ukupnih prihoda poslovanja. Ostvareni su 3,73 % manje od plana, a 84,39 % manje od ostvarenja istog razdoblja prošle godine.</w:t>
      </w:r>
      <w:r w:rsidR="0084389C" w:rsidRPr="00B44E69">
        <w:rPr>
          <w:rFonts w:eastAsia="Calibri" w:cs="Microsoft Sans Serif"/>
        </w:rPr>
        <w:t xml:space="preserve"> </w:t>
      </w:r>
      <w:r w:rsidR="006D3FFE" w:rsidRPr="00B44E69">
        <w:rPr>
          <w:rFonts w:cs="Microsoft Sans Serif"/>
        </w:rPr>
        <w:t>Prema uputama Gradskog ureda za financije (kl.:400-05/15-01/23, ur.br.:251-08-22/1-15-2 od 21. rujna 2015. godine), a koje se odnose na pripremu za konsolidaciju financijskih izvještaja izvršeno je preknjiženje prihoda ostvarenih temeljem ugovora s Gradom Zagrebom na način da se prihodi ostvareni temeljem ugovora s Gradom Zagrebom, a za koje je Zavod Gradu Zagrebu izdao račune</w:t>
      </w:r>
      <w:r w:rsidR="008B11B0" w:rsidRPr="00B44E69">
        <w:rPr>
          <w:rFonts w:cs="Microsoft Sans Serif"/>
        </w:rPr>
        <w:t>,</w:t>
      </w:r>
      <w:r w:rsidR="006D3FFE" w:rsidRPr="00B44E69">
        <w:rPr>
          <w:rFonts w:cs="Microsoft Sans Serif"/>
        </w:rPr>
        <w:t xml:space="preserve"> sa pozicije Prihodi za financiranje rashoda poslovanja preknjiže na poziciju Prihod</w:t>
      </w:r>
      <w:r w:rsidR="008C09F4" w:rsidRPr="00B44E69">
        <w:rPr>
          <w:rFonts w:cs="Microsoft Sans Serif"/>
        </w:rPr>
        <w:t>i</w:t>
      </w:r>
      <w:r w:rsidR="006D3FFE" w:rsidRPr="00B44E69">
        <w:rPr>
          <w:rFonts w:cs="Microsoft Sans Serif"/>
        </w:rPr>
        <w:t xml:space="preserve"> od pružanja usluga. 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</w:rPr>
        <w:t>Ova pozicija iz računskog plana obuhvaća prihode koje Zavod ostvaruje temeljem Ugovora s Gradskim uredom za zdravstvo</w:t>
      </w:r>
      <w:r w:rsidR="0084389C" w:rsidRPr="00B44E69">
        <w:rPr>
          <w:rFonts w:eastAsia="Calibri" w:cs="Microsoft Sans Serif"/>
        </w:rPr>
        <w:t xml:space="preserve"> i branitelje</w:t>
      </w:r>
      <w:r w:rsidRPr="00B44E69">
        <w:rPr>
          <w:rFonts w:eastAsia="Calibri" w:cs="Microsoft Sans Serif"/>
        </w:rPr>
        <w:t>, a financiraju se temeljem prijeno</w:t>
      </w:r>
      <w:r w:rsidR="0084389C" w:rsidRPr="00B44E69">
        <w:rPr>
          <w:rFonts w:eastAsia="Calibri" w:cs="Microsoft Sans Serif"/>
        </w:rPr>
        <w:t>sa</w:t>
      </w:r>
      <w:r w:rsidRPr="00B44E69">
        <w:rPr>
          <w:rFonts w:eastAsia="Calibri" w:cs="Microsoft Sans Serif"/>
        </w:rPr>
        <w:t xml:space="preserve"> iz nadležnog proračuna za financiranje redovne djelatnosti.</w:t>
      </w:r>
    </w:p>
    <w:p w:rsidR="006B5FF9" w:rsidRPr="00B44E69" w:rsidRDefault="006B5FF9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>Prihodi na temelju ugovornih obveza</w:t>
      </w:r>
      <w:r w:rsidR="0084389C" w:rsidRPr="00B44E69">
        <w:rPr>
          <w:rFonts w:eastAsia="Calibri" w:cs="Microsoft Sans Serif"/>
          <w:b/>
        </w:rPr>
        <w:t xml:space="preserve"> (AOP 133) </w:t>
      </w:r>
      <w:r w:rsidRPr="00B44E69">
        <w:rPr>
          <w:rFonts w:eastAsia="Calibri" w:cs="Microsoft Sans Serif"/>
        </w:rPr>
        <w:t>iznose 36.887.950,42 kn i ostvareni su s 96,93 % u odnosu na godišnji plan prihoda poslovanja Zavoda. Prihodi na temelju ugovornih obveza čine 42,97% ukupnih prihoda poslovanja. Prihodi na temelju ugovornih obveza obuhvaćaju prihode koji su ostvareni temeljem ugovornih obveza s HZZO. Ostvareni su 3,07 % manje od plana za izvještajno razdoblje, a 4,04 % manje od ostvarenja istog razdoblja prošle godine.</w:t>
      </w:r>
    </w:p>
    <w:p w:rsidR="0084389C" w:rsidRPr="00B44E69" w:rsidRDefault="0084389C" w:rsidP="00F253BE">
      <w:pPr>
        <w:spacing w:before="120" w:after="80" w:line="288" w:lineRule="auto"/>
        <w:jc w:val="both"/>
        <w:rPr>
          <w:rFonts w:eastAsia="Calibri" w:cs="Microsoft Sans Serif"/>
          <w:highlight w:val="darkCyan"/>
          <w:u w:val="single"/>
        </w:rPr>
      </w:pPr>
      <w:r w:rsidRPr="00B44E69">
        <w:rPr>
          <w:rFonts w:eastAsia="Calibri" w:cs="Microsoft Sans Serif"/>
          <w:b/>
        </w:rPr>
        <w:t>Rashodi poslovanja (AOP 147</w:t>
      </w:r>
      <w:r w:rsidRPr="00B44E69">
        <w:rPr>
          <w:rFonts w:eastAsia="Calibri" w:cs="Microsoft Sans Serif"/>
        </w:rPr>
        <w:t>) u razdoblju 01.01.-31.12.2015. godine iznose 86.133.905,52 kn; ostvareni su s 98,98% u odnosu na godišnji plan rashoda poslovanja Zavoda. Ostvareni su 4,02% manje od plana za izvještajno razdoblje i 3,28 % manje od ostvarenja istog razdoblja prošle godine.</w:t>
      </w:r>
    </w:p>
    <w:p w:rsidR="0084389C" w:rsidRPr="00B44E69" w:rsidRDefault="0084389C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</w:rPr>
        <w:t xml:space="preserve">U strukturi rashoda poslovanja </w:t>
      </w:r>
      <w:r w:rsidRPr="00B44E69">
        <w:rPr>
          <w:rFonts w:eastAsia="Calibri" w:cs="Microsoft Sans Serif"/>
          <w:b/>
        </w:rPr>
        <w:t>rashodi za zaposlene (AOP</w:t>
      </w:r>
      <w:r w:rsidR="006D3FFE" w:rsidRPr="00B44E69">
        <w:rPr>
          <w:rFonts w:eastAsia="Calibri" w:cs="Microsoft Sans Serif"/>
          <w:b/>
        </w:rPr>
        <w:t xml:space="preserve"> </w:t>
      </w:r>
      <w:r w:rsidRPr="00B44E69">
        <w:rPr>
          <w:rFonts w:eastAsia="Calibri" w:cs="Microsoft Sans Serif"/>
          <w:b/>
        </w:rPr>
        <w:t>148)</w:t>
      </w:r>
      <w:r w:rsidRPr="00B44E69">
        <w:rPr>
          <w:rFonts w:eastAsia="Calibri" w:cs="Microsoft Sans Serif"/>
        </w:rPr>
        <w:t xml:space="preserve"> iznose 56.099.699,25 kn, sudjeluju s 65,13 % (2/3)</w:t>
      </w:r>
      <w:r w:rsidR="006D3FFE" w:rsidRPr="00B44E69">
        <w:rPr>
          <w:rFonts w:eastAsia="Calibri" w:cs="Microsoft Sans Serif"/>
        </w:rPr>
        <w:t xml:space="preserve"> u ukupnim rashodima poslovanja. </w:t>
      </w:r>
      <w:r w:rsidRPr="00B44E69">
        <w:rPr>
          <w:rFonts w:eastAsia="Calibri" w:cs="Microsoft Sans Serif"/>
        </w:rPr>
        <w:t>Ostvareni su na razini plana i ostvarenja istog razdoblja prošle godine.</w:t>
      </w:r>
    </w:p>
    <w:p w:rsidR="006D3FFE" w:rsidRPr="00B44E69" w:rsidRDefault="006D3FFE" w:rsidP="00F253BE">
      <w:pPr>
        <w:spacing w:before="120" w:after="80" w:line="288" w:lineRule="auto"/>
        <w:jc w:val="both"/>
      </w:pPr>
      <w:r w:rsidRPr="00B44E69">
        <w:t xml:space="preserve">Znatno povećanje </w:t>
      </w:r>
      <w:r w:rsidRPr="00B44E69">
        <w:rPr>
          <w:b/>
        </w:rPr>
        <w:t>ostalih rashoda za zaposlene (AOP 155)</w:t>
      </w:r>
      <w:r w:rsidRPr="00B44E69">
        <w:t xml:space="preserve"> u odnosu na ostvarenje prethodnog razdoblja odnosi se na provođenje Odluke o isplati razlike iznosa jubilarne nagrade službenicima i namještenicima u javnim službama (NN 65/15).</w:t>
      </w:r>
    </w:p>
    <w:p w:rsidR="0084389C" w:rsidRPr="00B44E69" w:rsidRDefault="0084389C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>Materijalni rashodi (AOP 160)</w:t>
      </w:r>
      <w:r w:rsidRPr="00B44E69">
        <w:rPr>
          <w:rFonts w:eastAsia="Calibri" w:cs="Microsoft Sans Serif"/>
        </w:rPr>
        <w:t xml:space="preserve"> iznose 29.907.376,40 kn, čine 34,72 % ukupnih rashoda poslovanja (1/3) i ostvareni su 10,5 % manje od plana i 9,10 % manje od ostvarenja istog razdoblja prošle godine.</w:t>
      </w:r>
    </w:p>
    <w:p w:rsidR="0084389C" w:rsidRPr="00B44E69" w:rsidRDefault="0084389C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>Financijski rashodi</w:t>
      </w:r>
      <w:r w:rsidR="006D3FFE" w:rsidRPr="00B44E69">
        <w:rPr>
          <w:rFonts w:eastAsia="Calibri" w:cs="Microsoft Sans Serif"/>
          <w:b/>
        </w:rPr>
        <w:t xml:space="preserve"> (AOP 194)</w:t>
      </w:r>
      <w:r w:rsidRPr="00B44E69">
        <w:rPr>
          <w:rFonts w:eastAsia="Calibri" w:cs="Microsoft Sans Serif"/>
        </w:rPr>
        <w:t xml:space="preserve"> iznose 126.829,87 kn i čine 0,15 % ukupnih rashoda.</w:t>
      </w:r>
    </w:p>
    <w:p w:rsidR="0084389C" w:rsidRPr="00B44E69" w:rsidRDefault="0084389C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>Manjak prihoda poslovanja</w:t>
      </w:r>
      <w:r w:rsidR="006D3FFE" w:rsidRPr="00B44E69">
        <w:rPr>
          <w:rFonts w:eastAsia="Calibri" w:cs="Microsoft Sans Serif"/>
          <w:b/>
        </w:rPr>
        <w:t xml:space="preserve"> (AOP 274)</w:t>
      </w:r>
      <w:r w:rsidR="006D3FFE" w:rsidRPr="00B44E69">
        <w:rPr>
          <w:rFonts w:eastAsia="Calibri" w:cs="Microsoft Sans Serif"/>
        </w:rPr>
        <w:t xml:space="preserve"> </w:t>
      </w:r>
      <w:r w:rsidRPr="00B44E69">
        <w:rPr>
          <w:rFonts w:eastAsia="Calibri" w:cs="Microsoft Sans Serif"/>
        </w:rPr>
        <w:t>ostvaren u izvještajnom razdoblju iznosi 297.014,56 kn.</w:t>
      </w:r>
    </w:p>
    <w:p w:rsidR="00F253BE" w:rsidRPr="00B44E69" w:rsidRDefault="00F253BE" w:rsidP="00F253BE">
      <w:pPr>
        <w:spacing w:before="120" w:after="80" w:line="288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 xml:space="preserve">Rashodi za nabavu nefinancijske imovine </w:t>
      </w:r>
      <w:r w:rsidR="00EF6558" w:rsidRPr="00B44E69">
        <w:rPr>
          <w:rFonts w:eastAsia="Calibri" w:cs="Microsoft Sans Serif"/>
          <w:b/>
          <w:caps/>
        </w:rPr>
        <w:t>(AOP 3</w:t>
      </w:r>
      <w:r w:rsidRPr="00B44E69">
        <w:rPr>
          <w:rFonts w:eastAsia="Calibri" w:cs="Microsoft Sans Serif"/>
          <w:b/>
          <w:caps/>
        </w:rPr>
        <w:t>34</w:t>
      </w:r>
      <w:r w:rsidR="00EF6558" w:rsidRPr="00B44E69">
        <w:rPr>
          <w:rFonts w:eastAsia="Calibri" w:cs="Microsoft Sans Serif"/>
          <w:b/>
          <w:caps/>
        </w:rPr>
        <w:t>)</w:t>
      </w:r>
      <w:r w:rsidR="001C13E5" w:rsidRPr="00B44E69">
        <w:rPr>
          <w:rFonts w:eastAsia="Calibri" w:cs="Microsoft Sans Serif"/>
        </w:rPr>
        <w:t xml:space="preserve"> </w:t>
      </w:r>
      <w:r w:rsidRPr="00B44E69">
        <w:rPr>
          <w:rFonts w:eastAsia="Calibri" w:cs="Microsoft Sans Serif"/>
        </w:rPr>
        <w:t xml:space="preserve">iznose </w:t>
      </w:r>
      <w:r w:rsidR="008E37ED" w:rsidRPr="00B44E69">
        <w:rPr>
          <w:rFonts w:eastAsia="Calibri" w:cs="Microsoft Sans Serif"/>
        </w:rPr>
        <w:t xml:space="preserve">3.652.093,54 kn </w:t>
      </w:r>
      <w:r w:rsidRPr="00B44E69">
        <w:rPr>
          <w:rFonts w:eastAsia="Calibri" w:cs="Microsoft Sans Serif"/>
        </w:rPr>
        <w:t>i ostvareni su s 73,20 % u odnosu na planirane i za 69,5 % su manji od izvršenja prethodne godine.</w:t>
      </w:r>
    </w:p>
    <w:p w:rsidR="00F253BE" w:rsidRPr="00B44E69" w:rsidRDefault="00F253BE" w:rsidP="00F253BE">
      <w:pPr>
        <w:spacing w:before="120" w:after="80" w:line="288" w:lineRule="auto"/>
        <w:rPr>
          <w:rFonts w:eastAsia="Calibri" w:cs="Microsoft Sans Serif"/>
        </w:rPr>
      </w:pPr>
      <w:r w:rsidRPr="00B44E69">
        <w:rPr>
          <w:rFonts w:eastAsia="Calibri" w:cs="Microsoft Sans Serif"/>
        </w:rPr>
        <w:t xml:space="preserve">U izvještajnom razdoblju ostvaren je </w:t>
      </w:r>
      <w:r w:rsidRPr="00B44E69">
        <w:rPr>
          <w:rFonts w:eastAsia="Calibri" w:cs="Microsoft Sans Serif"/>
          <w:b/>
        </w:rPr>
        <w:t>prihod od prodaje instrumenta (AOP 305)</w:t>
      </w:r>
      <w:r w:rsidRPr="00B44E69">
        <w:rPr>
          <w:rFonts w:eastAsia="Calibri" w:cs="Microsoft Sans Serif"/>
        </w:rPr>
        <w:t xml:space="preserve"> u iznosu 72.500,00 kn.</w:t>
      </w:r>
    </w:p>
    <w:p w:rsidR="00F253BE" w:rsidRPr="00B44E69" w:rsidRDefault="00F253BE" w:rsidP="00F253BE">
      <w:pPr>
        <w:spacing w:before="120" w:after="80" w:line="288" w:lineRule="auto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>Manjak prihoda od nefinancijske imovine</w:t>
      </w:r>
      <w:r w:rsidR="005978AE" w:rsidRPr="00B44E69">
        <w:rPr>
          <w:rFonts w:eastAsia="Calibri" w:cs="Microsoft Sans Serif"/>
          <w:b/>
        </w:rPr>
        <w:t xml:space="preserve"> (AOP 397)</w:t>
      </w:r>
      <w:r w:rsidRPr="00B44E69">
        <w:rPr>
          <w:rFonts w:eastAsia="Calibri" w:cs="Microsoft Sans Serif"/>
        </w:rPr>
        <w:t xml:space="preserve"> u izvještajnom razdoblju iznosi 3.579.593,54 kn</w:t>
      </w:r>
    </w:p>
    <w:p w:rsidR="00F253BE" w:rsidRPr="00B44E69" w:rsidRDefault="00F253BE" w:rsidP="0033500F">
      <w:pPr>
        <w:spacing w:before="40" w:after="40" w:line="276" w:lineRule="auto"/>
        <w:jc w:val="both"/>
        <w:rPr>
          <w:rFonts w:eastAsia="Calibri" w:cs="Microsoft Sans Serif"/>
        </w:rPr>
      </w:pPr>
    </w:p>
    <w:p w:rsidR="00532BF2" w:rsidRPr="00B44E69" w:rsidRDefault="00532BF2" w:rsidP="00532BF2">
      <w:pPr>
        <w:spacing w:after="200" w:line="276" w:lineRule="auto"/>
        <w:jc w:val="both"/>
        <w:rPr>
          <w:rFonts w:cs="Microsoft Sans Serif"/>
        </w:rPr>
      </w:pPr>
      <w:r w:rsidRPr="00B44E69">
        <w:rPr>
          <w:rFonts w:cs="Microsoft Sans Serif"/>
        </w:rPr>
        <w:lastRenderedPageBreak/>
        <w:t xml:space="preserve">U izvještajnom razdoblju ostvaren je ostvaren je </w:t>
      </w:r>
      <w:r w:rsidRPr="00B44E69">
        <w:rPr>
          <w:rFonts w:cs="Microsoft Sans Serif"/>
          <w:b/>
        </w:rPr>
        <w:t>primitak od financijske imovine</w:t>
      </w:r>
      <w:r w:rsidRPr="00B44E69">
        <w:rPr>
          <w:rFonts w:cs="Microsoft Sans Serif"/>
          <w:b/>
        </w:rPr>
        <w:t xml:space="preserve"> (AOP 408)</w:t>
      </w:r>
      <w:r w:rsidRPr="00B44E69">
        <w:rPr>
          <w:rFonts w:cs="Microsoft Sans Serif"/>
        </w:rPr>
        <w:t xml:space="preserve"> u ukupnom iznosu 29.665.659,65 kn. </w:t>
      </w:r>
    </w:p>
    <w:p w:rsidR="00164FEE" w:rsidRPr="00B44E69" w:rsidRDefault="00164FEE" w:rsidP="00532BF2">
      <w:pPr>
        <w:spacing w:after="200" w:line="276" w:lineRule="auto"/>
        <w:jc w:val="both"/>
        <w:rPr>
          <w:rFonts w:cs="Microsoft Sans Serif"/>
        </w:rPr>
      </w:pPr>
      <w:r w:rsidRPr="00B44E69">
        <w:rPr>
          <w:rFonts w:cs="Microsoft Sans Serif"/>
        </w:rPr>
        <w:t xml:space="preserve">U 2015. godini ostvaren je </w:t>
      </w:r>
      <w:r w:rsidRPr="00B44E69">
        <w:rPr>
          <w:rFonts w:cs="Microsoft Sans Serif"/>
          <w:b/>
        </w:rPr>
        <w:t>primit</w:t>
      </w:r>
      <w:r w:rsidRPr="00B44E69">
        <w:rPr>
          <w:rFonts w:cs="Microsoft Sans Serif"/>
          <w:b/>
        </w:rPr>
        <w:t>a</w:t>
      </w:r>
      <w:r w:rsidRPr="00B44E69">
        <w:rPr>
          <w:rFonts w:cs="Microsoft Sans Serif"/>
          <w:b/>
        </w:rPr>
        <w:t>k od povrata depozita od tuzemnih financijskih institucija</w:t>
      </w:r>
      <w:r w:rsidRPr="00B44E69">
        <w:rPr>
          <w:rFonts w:cs="Microsoft Sans Serif"/>
          <w:b/>
        </w:rPr>
        <w:t xml:space="preserve"> (AOP 445)</w:t>
      </w:r>
      <w:r w:rsidRPr="00B44E69">
        <w:rPr>
          <w:rFonts w:cs="Microsoft Sans Serif"/>
        </w:rPr>
        <w:t xml:space="preserve"> u iznosu 29.500.000,00 kn za depozite koji su bili oročeni kod </w:t>
      </w:r>
      <w:r w:rsidRPr="00B44E69">
        <w:rPr>
          <w:rFonts w:cs="Microsoft Sans Serif"/>
        </w:rPr>
        <w:t>Privredn</w:t>
      </w:r>
      <w:r w:rsidRPr="00B44E69">
        <w:rPr>
          <w:rFonts w:cs="Microsoft Sans Serif"/>
        </w:rPr>
        <w:t>e banke Zagreb.</w:t>
      </w:r>
    </w:p>
    <w:p w:rsidR="00164FEE" w:rsidRPr="00B44E69" w:rsidRDefault="00164FEE" w:rsidP="00164FEE">
      <w:pPr>
        <w:spacing w:after="200" w:line="276" w:lineRule="auto"/>
        <w:jc w:val="both"/>
        <w:rPr>
          <w:rFonts w:cs="Microsoft Sans Serif"/>
        </w:rPr>
      </w:pPr>
      <w:r w:rsidRPr="00B44E69">
        <w:rPr>
          <w:rFonts w:cs="Microsoft Sans Serif"/>
        </w:rPr>
        <w:t xml:space="preserve">Iznos od 165.659,65 kn odnosi se na </w:t>
      </w:r>
      <w:r w:rsidRPr="00B44E69">
        <w:rPr>
          <w:rFonts w:cs="Microsoft Sans Serif"/>
          <w:b/>
        </w:rPr>
        <w:t>povrate jamčevnih pologa (AOP 447)</w:t>
      </w:r>
      <w:r w:rsidRPr="00B44E69">
        <w:rPr>
          <w:rFonts w:cs="Microsoft Sans Serif"/>
        </w:rPr>
        <w:t xml:space="preserve"> koji su bili dani u svrhu jamstva za ozbiljnost ponude i jamstava za dobro izvršenje posla po ugovorim o javnoj nabave.</w:t>
      </w:r>
    </w:p>
    <w:p w:rsidR="00532BF2" w:rsidRPr="00B44E69" w:rsidRDefault="00532BF2" w:rsidP="00532BF2">
      <w:pPr>
        <w:spacing w:after="200" w:line="276" w:lineRule="auto"/>
        <w:jc w:val="both"/>
        <w:rPr>
          <w:rFonts w:cs="Microsoft Sans Serif"/>
        </w:rPr>
      </w:pPr>
      <w:r w:rsidRPr="00B44E69">
        <w:rPr>
          <w:rFonts w:cs="Microsoft Sans Serif"/>
          <w:b/>
        </w:rPr>
        <w:t xml:space="preserve">Izdaci za financijsku imovinu </w:t>
      </w:r>
      <w:r w:rsidR="00164FEE" w:rsidRPr="00B44E69">
        <w:rPr>
          <w:rFonts w:cs="Microsoft Sans Serif"/>
          <w:b/>
        </w:rPr>
        <w:t>(AOP 519)</w:t>
      </w:r>
      <w:r w:rsidRPr="00B44E69">
        <w:rPr>
          <w:rFonts w:cs="Microsoft Sans Serif"/>
        </w:rPr>
        <w:t xml:space="preserve">u izvještajnom razdoblju iznose 15.544.500,00 kn. </w:t>
      </w:r>
    </w:p>
    <w:p w:rsidR="00164FEE" w:rsidRPr="00B44E69" w:rsidRDefault="00164FEE" w:rsidP="00532BF2">
      <w:pPr>
        <w:spacing w:after="200" w:line="276" w:lineRule="auto"/>
        <w:jc w:val="both"/>
        <w:rPr>
          <w:rFonts w:cs="Microsoft Sans Serif"/>
        </w:rPr>
      </w:pPr>
      <w:r w:rsidRPr="00B44E69">
        <w:rPr>
          <w:rFonts w:cs="Microsoft Sans Serif"/>
          <w:b/>
        </w:rPr>
        <w:t>Izdaci za depozite u kreditnim i ostalim financijskim institucijama (AOP 556</w:t>
      </w:r>
      <w:r w:rsidRPr="00B44E69">
        <w:rPr>
          <w:rFonts w:cs="Microsoft Sans Serif"/>
        </w:rPr>
        <w:t xml:space="preserve">) u izvještajnom razdoblju iznose ukupno 15.500.000,00 kn; iznos od </w:t>
      </w:r>
      <w:r w:rsidR="00532BF2" w:rsidRPr="00B44E69">
        <w:rPr>
          <w:rFonts w:cs="Microsoft Sans Serif"/>
        </w:rPr>
        <w:t xml:space="preserve">14.500.000,00 kn odnosi se na </w:t>
      </w:r>
      <w:r w:rsidRPr="00B44E69">
        <w:rPr>
          <w:rFonts w:cs="Microsoft Sans Serif"/>
        </w:rPr>
        <w:t>nenamjenski oročena sredstva, a i</w:t>
      </w:r>
      <w:r w:rsidR="00532BF2" w:rsidRPr="00B44E69">
        <w:rPr>
          <w:rFonts w:cs="Microsoft Sans Serif"/>
        </w:rPr>
        <w:t xml:space="preserve">znos od 1.000.000,00 kn odnosi se na novi ugovor o okvirnoj liniji sklopljen u veljači 2015. godine s rokom dospijeća 31.12.2018. </w:t>
      </w:r>
    </w:p>
    <w:p w:rsidR="00532BF2" w:rsidRPr="00B44E69" w:rsidRDefault="00164FEE" w:rsidP="00532BF2">
      <w:pPr>
        <w:spacing w:after="200" w:line="276" w:lineRule="auto"/>
        <w:jc w:val="both"/>
        <w:rPr>
          <w:rFonts w:cs="Microsoft Sans Serif"/>
        </w:rPr>
      </w:pPr>
      <w:r w:rsidRPr="00B44E69">
        <w:rPr>
          <w:rFonts w:cs="Microsoft Sans Serif"/>
        </w:rPr>
        <w:t xml:space="preserve">Izdaci za jamčevne pologe (AOP 558) </w:t>
      </w:r>
      <w:r w:rsidR="008B11B0" w:rsidRPr="00B44E69">
        <w:rPr>
          <w:rFonts w:cs="Microsoft Sans Serif"/>
        </w:rPr>
        <w:t xml:space="preserve">iznose 44.500,00 kn. </w:t>
      </w:r>
      <w:r w:rsidR="00532BF2" w:rsidRPr="00B44E69">
        <w:rPr>
          <w:rFonts w:cs="Microsoft Sans Serif"/>
        </w:rPr>
        <w:t>Iznos od 26.500,00 kn odnosi se na jamstvo izdano u korist Hrvatskih autocesta s rokom dospijeća 15.01.2016. godine a iznos od 18.000,00 kn odnosi se na jamstvo izdano u korist Studentskog centra s rokom dospijeća 20.02.2016. godine</w:t>
      </w:r>
    </w:p>
    <w:p w:rsidR="005978AE" w:rsidRPr="00B44E69" w:rsidRDefault="005978AE" w:rsidP="005978AE">
      <w:pPr>
        <w:spacing w:after="200" w:line="276" w:lineRule="auto"/>
        <w:jc w:val="both"/>
        <w:rPr>
          <w:rFonts w:eastAsia="Calibri" w:cs="Microsoft Sans Serif"/>
        </w:rPr>
      </w:pPr>
      <w:r w:rsidRPr="00B44E69">
        <w:rPr>
          <w:rFonts w:eastAsia="Calibri" w:cs="Microsoft Sans Serif"/>
          <w:b/>
        </w:rPr>
        <w:t>Financijski rezultat</w:t>
      </w:r>
      <w:r w:rsidR="00E9052A" w:rsidRPr="00B44E69">
        <w:rPr>
          <w:rFonts w:eastAsia="Calibri" w:cs="Microsoft Sans Serif"/>
          <w:b/>
        </w:rPr>
        <w:t xml:space="preserve"> (AOP </w:t>
      </w:r>
      <w:r w:rsidRPr="00B44E69">
        <w:rPr>
          <w:rFonts w:eastAsia="Calibri" w:cs="Microsoft Sans Serif"/>
          <w:b/>
        </w:rPr>
        <w:t>631-637);</w:t>
      </w:r>
      <w:r w:rsidR="00E9052A" w:rsidRPr="00B44E69">
        <w:rPr>
          <w:rFonts w:eastAsia="Calibri" w:cs="Microsoft Sans Serif"/>
          <w:b/>
        </w:rPr>
        <w:t xml:space="preserve"> </w:t>
      </w:r>
      <w:r w:rsidRPr="00B44E69">
        <w:rPr>
          <w:rFonts w:eastAsia="Calibri" w:cs="Microsoft Sans Serif"/>
        </w:rPr>
        <w:t>Nastavni zavod za javno zdravstvo „Dr. Andrija Štampar” je u razdoblju od 01.01.-31.12.2015. godine ostvario višak prihoda nad rashodima u iznosu 10.244.551,55 kn. Višak prihoda i primitaka raspoloživ u slijedećem razdoblju iznosi 15.863.332,18 kn.</w:t>
      </w:r>
    </w:p>
    <w:p w:rsidR="00BC3DC2" w:rsidRPr="00B44E69" w:rsidRDefault="00BC3DC2" w:rsidP="008B11B0">
      <w:pPr>
        <w:shd w:val="clear" w:color="auto" w:fill="D9E2F3"/>
        <w:spacing w:before="360" w:after="240" w:line="276" w:lineRule="auto"/>
        <w:jc w:val="both"/>
        <w:rPr>
          <w:rFonts w:cs="Levenim MT"/>
          <w:b/>
          <w:caps/>
        </w:rPr>
      </w:pPr>
      <w:r w:rsidRPr="00B44E69">
        <w:rPr>
          <w:rFonts w:cs="Levenim MT"/>
          <w:b/>
          <w:caps/>
        </w:rPr>
        <w:t xml:space="preserve">Izvještaj o promjenama u vrijednosti i obujmu imovine i obveza  - </w:t>
      </w:r>
      <w:r w:rsidRPr="00B44E69">
        <w:rPr>
          <w:rFonts w:cs="Levenim MT"/>
          <w:b/>
        </w:rPr>
        <w:t>Obrazac P</w:t>
      </w:r>
      <w:r w:rsidRPr="00B44E69">
        <w:rPr>
          <w:rFonts w:cs="Levenim MT"/>
          <w:b/>
          <w:caps/>
        </w:rPr>
        <w:t>-VRIO</w:t>
      </w:r>
    </w:p>
    <w:p w:rsidR="003E6EAF" w:rsidRPr="00B44E69" w:rsidRDefault="00BC3DC2" w:rsidP="0033500F">
      <w:pPr>
        <w:spacing w:before="40" w:after="40" w:line="276" w:lineRule="auto"/>
        <w:jc w:val="both"/>
        <w:rPr>
          <w:rFonts w:cs="Levenim MT"/>
        </w:rPr>
      </w:pPr>
      <w:r w:rsidRPr="00B44E69">
        <w:rPr>
          <w:rFonts w:cs="Levenim MT"/>
        </w:rPr>
        <w:t>U 201</w:t>
      </w:r>
      <w:r w:rsidR="005978AE" w:rsidRPr="00B44E69">
        <w:rPr>
          <w:rFonts w:cs="Levenim MT"/>
        </w:rPr>
        <w:t>5</w:t>
      </w:r>
      <w:r w:rsidRPr="00B44E69">
        <w:rPr>
          <w:rFonts w:cs="Levenim MT"/>
        </w:rPr>
        <w:t xml:space="preserve">. god. nastalo je smanjenje obujma imovine u dijelu koji se odnosi na </w:t>
      </w:r>
      <w:r w:rsidRPr="00B44E69">
        <w:rPr>
          <w:rFonts w:cs="Levenim MT"/>
          <w:b/>
        </w:rPr>
        <w:t>potraživanja za prihode poslovanja</w:t>
      </w:r>
      <w:r w:rsidR="00903171" w:rsidRPr="00B44E69">
        <w:rPr>
          <w:rFonts w:cs="Levenim MT"/>
          <w:b/>
        </w:rPr>
        <w:t xml:space="preserve"> (AOP 032)</w:t>
      </w:r>
      <w:r w:rsidRPr="00B44E69">
        <w:rPr>
          <w:rFonts w:cs="Levenim MT"/>
        </w:rPr>
        <w:t xml:space="preserve"> u </w:t>
      </w:r>
      <w:r w:rsidR="00903171" w:rsidRPr="00B44E69">
        <w:rPr>
          <w:rFonts w:cs="Levenim MT"/>
        </w:rPr>
        <w:t xml:space="preserve">ukupnom iznosu od </w:t>
      </w:r>
      <w:r w:rsidR="005978AE" w:rsidRPr="00B44E69">
        <w:rPr>
          <w:rFonts w:cs="Levenim MT"/>
        </w:rPr>
        <w:t>1.130.521,92</w:t>
      </w:r>
      <w:r w:rsidR="00903171" w:rsidRPr="00B44E69">
        <w:rPr>
          <w:rFonts w:cs="Levenim MT"/>
        </w:rPr>
        <w:t xml:space="preserve"> kn </w:t>
      </w:r>
      <w:r w:rsidR="005978AE" w:rsidRPr="00B44E69">
        <w:rPr>
          <w:rFonts w:cs="Levenim MT"/>
        </w:rPr>
        <w:t xml:space="preserve">a </w:t>
      </w:r>
      <w:r w:rsidR="00903171" w:rsidRPr="00B44E69">
        <w:rPr>
          <w:rFonts w:cs="Levenim MT"/>
        </w:rPr>
        <w:t xml:space="preserve">odnosi na otpisana potraživanja </w:t>
      </w:r>
      <w:r w:rsidR="005978AE" w:rsidRPr="00B44E69">
        <w:rPr>
          <w:rFonts w:cs="Levenim MT"/>
        </w:rPr>
        <w:t>temeljem Odluke Upravnog vijeća</w:t>
      </w:r>
      <w:r w:rsidR="003E6EAF" w:rsidRPr="00B44E69">
        <w:rPr>
          <w:rFonts w:cs="Levenim MT"/>
        </w:rPr>
        <w:t>. P</w:t>
      </w:r>
      <w:r w:rsidR="005978AE" w:rsidRPr="00B44E69">
        <w:rPr>
          <w:rFonts w:cs="Levenim MT"/>
        </w:rPr>
        <w:t xml:space="preserve">otraživanja za </w:t>
      </w:r>
      <w:r w:rsidR="00903171" w:rsidRPr="00B44E69">
        <w:rPr>
          <w:rFonts w:cs="Levenim MT"/>
        </w:rPr>
        <w:t>prihode od pružanja usluga</w:t>
      </w:r>
      <w:r w:rsidR="005978AE" w:rsidRPr="00B44E69">
        <w:rPr>
          <w:rFonts w:cs="Levenim MT"/>
        </w:rPr>
        <w:t xml:space="preserve"> </w:t>
      </w:r>
      <w:r w:rsidR="003E6EAF" w:rsidRPr="00B44E69">
        <w:rPr>
          <w:rFonts w:cs="Levenim MT"/>
        </w:rPr>
        <w:t xml:space="preserve">otpisana su </w:t>
      </w:r>
      <w:r w:rsidR="005978AE" w:rsidRPr="00B44E69">
        <w:rPr>
          <w:rFonts w:cs="Levenim MT"/>
        </w:rPr>
        <w:t>u iznosu 221.947,05 kn</w:t>
      </w:r>
      <w:r w:rsidR="003E6EAF" w:rsidRPr="00B44E69">
        <w:rPr>
          <w:rFonts w:cs="Levenim MT"/>
        </w:rPr>
        <w:t xml:space="preserve"> radi nemogućnosti naplate.</w:t>
      </w:r>
    </w:p>
    <w:p w:rsidR="003E6EAF" w:rsidRPr="00B44E69" w:rsidRDefault="003E6EAF" w:rsidP="0033500F">
      <w:pPr>
        <w:spacing w:before="40" w:after="40" w:line="276" w:lineRule="auto"/>
        <w:jc w:val="both"/>
        <w:rPr>
          <w:rFonts w:cs="Microsoft Sans Serif"/>
          <w:lang w:val="pl-PL"/>
        </w:rPr>
      </w:pPr>
      <w:r w:rsidRPr="00B44E69">
        <w:rPr>
          <w:rFonts w:cs="Levenim MT"/>
        </w:rPr>
        <w:t>P</w:t>
      </w:r>
      <w:r w:rsidR="005978AE" w:rsidRPr="00B44E69">
        <w:rPr>
          <w:rFonts w:cs="Levenim MT"/>
        </w:rPr>
        <w:t>otraživanja za prihode iz proračuna u iznos</w:t>
      </w:r>
      <w:r w:rsidRPr="00B44E69">
        <w:rPr>
          <w:rFonts w:cs="Levenim MT"/>
        </w:rPr>
        <w:t>u</w:t>
      </w:r>
      <w:r w:rsidR="005978AE" w:rsidRPr="00B44E69">
        <w:rPr>
          <w:rFonts w:cs="Levenim MT"/>
        </w:rPr>
        <w:t xml:space="preserve"> 908.574,90 kn </w:t>
      </w:r>
      <w:r w:rsidRPr="00B44E69">
        <w:rPr>
          <w:rFonts w:cs="Microsoft Sans Serif"/>
          <w:lang w:val="pl-PL"/>
        </w:rPr>
        <w:t xml:space="preserve">nastala u razdoblju od 01.01.2014. do 31.12.2014. godine, s osnove pružanja usluga specijalističke dijagnostike u djelatnosti mikrobiologije s parazitologijom osiguranicima Hrvatskog zavoda za zdravstveno osiguranje, a temeljem </w:t>
      </w:r>
      <w:r w:rsidRPr="00B44E69">
        <w:rPr>
          <w:rFonts w:cs="Microsoft Sans Serif"/>
        </w:rPr>
        <w:t xml:space="preserve">Ugovora o provođenju specijalističko-dijagnostičke zdravstvene zaštite za 2014. godinu Kl.:500-07/13-01/797, Ur.br.:338-01-34-13-1 od 30.12.2013. godine </w:t>
      </w:r>
      <w:r w:rsidRPr="00B44E69">
        <w:rPr>
          <w:rFonts w:cs="Microsoft Sans Serif"/>
          <w:lang w:val="pl-PL"/>
        </w:rPr>
        <w:t>kojim je regulirano provođenje specijalističko-dijagnostičke zdravstvene zaštite u 2014. godini otpisana su radi zbog nemogućnosti naplate</w:t>
      </w:r>
    </w:p>
    <w:p w:rsidR="00BC3DC2" w:rsidRPr="00B44E69" w:rsidRDefault="00BC3DC2" w:rsidP="0033500F">
      <w:pPr>
        <w:spacing w:before="40" w:after="40" w:line="276" w:lineRule="auto"/>
        <w:jc w:val="both"/>
        <w:rPr>
          <w:rFonts w:cs="Levenim MT"/>
        </w:rPr>
      </w:pPr>
      <w:r w:rsidRPr="00B44E69">
        <w:rPr>
          <w:rFonts w:cs="Levenim MT"/>
        </w:rPr>
        <w:t xml:space="preserve">Iznos od </w:t>
      </w:r>
      <w:r w:rsidR="005978AE" w:rsidRPr="00B44E69">
        <w:rPr>
          <w:rFonts w:cs="Levenim MT"/>
        </w:rPr>
        <w:t>46.200,00</w:t>
      </w:r>
      <w:r w:rsidRPr="00B44E69">
        <w:rPr>
          <w:rFonts w:cs="Levenim MT"/>
        </w:rPr>
        <w:t xml:space="preserve"> kn evidentiran kao iznos </w:t>
      </w:r>
      <w:r w:rsidRPr="00B44E69">
        <w:rPr>
          <w:rFonts w:cs="Levenim MT"/>
          <w:b/>
        </w:rPr>
        <w:t>smanjenja proizvedene dugotrajne imovine</w:t>
      </w:r>
      <w:r w:rsidR="00903171" w:rsidRPr="00B44E69">
        <w:rPr>
          <w:rFonts w:cs="Levenim MT"/>
          <w:b/>
        </w:rPr>
        <w:t xml:space="preserve"> (AOP 021) </w:t>
      </w:r>
      <w:r w:rsidRPr="00B44E69">
        <w:rPr>
          <w:rFonts w:cs="Levenim MT"/>
        </w:rPr>
        <w:t>odnosi se na knji</w:t>
      </w:r>
      <w:r w:rsidR="00F253BE" w:rsidRPr="00B44E69">
        <w:rPr>
          <w:rFonts w:cs="Levenim MT"/>
        </w:rPr>
        <w:t xml:space="preserve">govodstvenu-sadašnju </w:t>
      </w:r>
      <w:r w:rsidR="008A20D7" w:rsidRPr="00B44E69">
        <w:rPr>
          <w:rFonts w:cs="Levenim MT"/>
        </w:rPr>
        <w:t xml:space="preserve">vrijednost </w:t>
      </w:r>
      <w:r w:rsidR="00F253BE" w:rsidRPr="00B44E69">
        <w:rPr>
          <w:rFonts w:cs="Levenim MT"/>
        </w:rPr>
        <w:t>otpisanog (prodanog) osnovnog</w:t>
      </w:r>
      <w:r w:rsidRPr="00B44E69">
        <w:rPr>
          <w:rFonts w:cs="Levenim MT"/>
        </w:rPr>
        <w:t xml:space="preserve"> sredstava.</w:t>
      </w:r>
    </w:p>
    <w:p w:rsidR="00BC3DC2" w:rsidRPr="00B44E69" w:rsidRDefault="00BC3DC2" w:rsidP="008B11B0">
      <w:pPr>
        <w:shd w:val="clear" w:color="auto" w:fill="D9E2F3"/>
        <w:spacing w:before="360" w:after="240" w:line="276" w:lineRule="auto"/>
        <w:jc w:val="both"/>
        <w:rPr>
          <w:rFonts w:cs="Levenim MT"/>
          <w:b/>
          <w:caps/>
        </w:rPr>
      </w:pPr>
      <w:r w:rsidRPr="00B44E69">
        <w:rPr>
          <w:rFonts w:cs="Levenim MT"/>
          <w:b/>
          <w:caps/>
        </w:rPr>
        <w:t xml:space="preserve">Izvještaj o obvezama – </w:t>
      </w:r>
      <w:r w:rsidRPr="00B44E69">
        <w:rPr>
          <w:rFonts w:cs="Levenim MT"/>
          <w:b/>
        </w:rPr>
        <w:t xml:space="preserve">Obrazac </w:t>
      </w:r>
      <w:r w:rsidRPr="00B44E69">
        <w:rPr>
          <w:rFonts w:cs="Levenim MT"/>
          <w:b/>
          <w:caps/>
        </w:rPr>
        <w:t>OBVEZE</w:t>
      </w:r>
    </w:p>
    <w:p w:rsidR="00437C97" w:rsidRPr="00B44E69" w:rsidRDefault="00BC3DC2" w:rsidP="0033500F">
      <w:pPr>
        <w:spacing w:before="40" w:after="40" w:line="276" w:lineRule="auto"/>
        <w:jc w:val="both"/>
        <w:rPr>
          <w:rFonts w:cs="Levenim MT"/>
        </w:rPr>
      </w:pPr>
      <w:r w:rsidRPr="00B44E69">
        <w:rPr>
          <w:rFonts w:cs="Levenim MT"/>
        </w:rPr>
        <w:t>U razdoblju od 01.10.-31.12.20</w:t>
      </w:r>
      <w:r w:rsidR="00903171" w:rsidRPr="00B44E69">
        <w:rPr>
          <w:rFonts w:cs="Levenim MT"/>
        </w:rPr>
        <w:t>1</w:t>
      </w:r>
      <w:r w:rsidR="003E6EAF" w:rsidRPr="00B44E69">
        <w:rPr>
          <w:rFonts w:cs="Levenim MT"/>
        </w:rPr>
        <w:t>5</w:t>
      </w:r>
      <w:r w:rsidRPr="00B44E69">
        <w:rPr>
          <w:rFonts w:cs="Levenim MT"/>
        </w:rPr>
        <w:t xml:space="preserve">. ukupno je nastalo </w:t>
      </w:r>
      <w:r w:rsidR="003E6EAF" w:rsidRPr="00B44E69">
        <w:rPr>
          <w:rFonts w:cs="Levenim MT"/>
        </w:rPr>
        <w:t>29.523.423,88</w:t>
      </w:r>
      <w:r w:rsidRPr="00B44E69">
        <w:rPr>
          <w:rFonts w:cs="Levenim MT"/>
        </w:rPr>
        <w:t xml:space="preserve"> kn obveza. </w:t>
      </w:r>
    </w:p>
    <w:p w:rsidR="00437C97" w:rsidRPr="00B44E69" w:rsidRDefault="00BC3DC2" w:rsidP="0033500F">
      <w:pPr>
        <w:spacing w:before="40" w:after="40" w:line="276" w:lineRule="auto"/>
        <w:jc w:val="both"/>
        <w:rPr>
          <w:rFonts w:cs="Levenim MT"/>
        </w:rPr>
      </w:pPr>
      <w:r w:rsidRPr="00B44E69">
        <w:rPr>
          <w:rFonts w:cs="Levenim MT"/>
        </w:rPr>
        <w:t xml:space="preserve">Međusobne obveze proračunskih korisnika iznose </w:t>
      </w:r>
      <w:r w:rsidR="003E6EAF" w:rsidRPr="00B44E69">
        <w:rPr>
          <w:rFonts w:cs="Levenim MT"/>
        </w:rPr>
        <w:t>558.392,43</w:t>
      </w:r>
      <w:r w:rsidRPr="00B44E69">
        <w:rPr>
          <w:rFonts w:cs="Levenim MT"/>
        </w:rPr>
        <w:t xml:space="preserve"> kn, a odnose se na refundaciju režijskih troškova Domovima zdravlja i obveze za zdravstvene usluge</w:t>
      </w:r>
      <w:r w:rsidR="003E6EAF" w:rsidRPr="00B44E69">
        <w:rPr>
          <w:rFonts w:cs="Levenim MT"/>
        </w:rPr>
        <w:t xml:space="preserve"> i laboratorijske usluge </w:t>
      </w:r>
      <w:r w:rsidRPr="00B44E69">
        <w:rPr>
          <w:rFonts w:cs="Levenim MT"/>
        </w:rPr>
        <w:t>koje Zavodu pružaju druge zdravstvene ustanove – proračunski korisnici.</w:t>
      </w:r>
    </w:p>
    <w:p w:rsidR="00BC3DC2" w:rsidRPr="00B44E69" w:rsidRDefault="00BC3DC2" w:rsidP="0033500F">
      <w:pPr>
        <w:spacing w:before="40" w:after="40" w:line="276" w:lineRule="auto"/>
        <w:jc w:val="both"/>
        <w:rPr>
          <w:rFonts w:cs="Levenim MT"/>
        </w:rPr>
      </w:pPr>
      <w:r w:rsidRPr="00B44E69">
        <w:rPr>
          <w:rFonts w:cs="Levenim MT"/>
        </w:rPr>
        <w:lastRenderedPageBreak/>
        <w:t>Obveze za rashode poslovanja nastale u razdoblju 01.10.-31.12.201</w:t>
      </w:r>
      <w:r w:rsidR="003E6EAF" w:rsidRPr="00B44E69">
        <w:rPr>
          <w:rFonts w:cs="Levenim MT"/>
        </w:rPr>
        <w:t>5</w:t>
      </w:r>
      <w:r w:rsidRPr="00B44E69">
        <w:rPr>
          <w:rFonts w:cs="Levenim MT"/>
        </w:rPr>
        <w:t xml:space="preserve">. iznose </w:t>
      </w:r>
      <w:r w:rsidR="003E6EAF" w:rsidRPr="00B44E69">
        <w:rPr>
          <w:rFonts w:cs="Levenim MT"/>
        </w:rPr>
        <w:t>27.682.756,49</w:t>
      </w:r>
      <w:r w:rsidR="0033500F" w:rsidRPr="00B44E69">
        <w:rPr>
          <w:rFonts w:cs="Levenim MT"/>
        </w:rPr>
        <w:t xml:space="preserve"> </w:t>
      </w:r>
      <w:r w:rsidRPr="00B44E69">
        <w:rPr>
          <w:rFonts w:cs="Levenim MT"/>
        </w:rPr>
        <w:t xml:space="preserve">kn, dok obveze za nabavu nefinancijske imovine iznose </w:t>
      </w:r>
      <w:r w:rsidR="003E6EAF" w:rsidRPr="00B44E69">
        <w:rPr>
          <w:rFonts w:cs="Levenim MT"/>
        </w:rPr>
        <w:t>1.282.274,96</w:t>
      </w:r>
      <w:r w:rsidRPr="00B44E69">
        <w:rPr>
          <w:rFonts w:cs="Levenim MT"/>
        </w:rPr>
        <w:t xml:space="preserve"> kn </w:t>
      </w:r>
    </w:p>
    <w:p w:rsidR="00437C97" w:rsidRPr="00B44E69" w:rsidRDefault="00BC3DC2" w:rsidP="0033500F">
      <w:pPr>
        <w:spacing w:before="40" w:after="40" w:line="276" w:lineRule="auto"/>
        <w:jc w:val="both"/>
        <w:rPr>
          <w:rFonts w:cs="Levenim MT"/>
        </w:rPr>
      </w:pPr>
      <w:r w:rsidRPr="00B44E69">
        <w:rPr>
          <w:rFonts w:cs="Levenim MT"/>
        </w:rPr>
        <w:t xml:space="preserve">U istom razdoblju podmireno je obveza u iznosu </w:t>
      </w:r>
      <w:r w:rsidR="003E6EAF" w:rsidRPr="00B44E69">
        <w:rPr>
          <w:rFonts w:cs="Levenim MT"/>
        </w:rPr>
        <w:t>27.633.273,65</w:t>
      </w:r>
      <w:r w:rsidRPr="00B44E69">
        <w:rPr>
          <w:rFonts w:cs="Levenim MT"/>
        </w:rPr>
        <w:t xml:space="preserve"> kn i saldo obveza na dan 31.12.201</w:t>
      </w:r>
      <w:r w:rsidR="003E6EAF" w:rsidRPr="00B44E69">
        <w:rPr>
          <w:rFonts w:cs="Levenim MT"/>
        </w:rPr>
        <w:t>5</w:t>
      </w:r>
      <w:r w:rsidRPr="00B44E69">
        <w:rPr>
          <w:rFonts w:cs="Levenim MT"/>
        </w:rPr>
        <w:t xml:space="preserve">. iznosi </w:t>
      </w:r>
      <w:r w:rsidR="003E6EAF" w:rsidRPr="00B44E69">
        <w:rPr>
          <w:rFonts w:cs="Levenim MT"/>
        </w:rPr>
        <w:t>9.438.727,65</w:t>
      </w:r>
      <w:r w:rsidRPr="00B44E69">
        <w:rPr>
          <w:rFonts w:cs="Levenim MT"/>
        </w:rPr>
        <w:t xml:space="preserve"> kn. </w:t>
      </w:r>
    </w:p>
    <w:p w:rsidR="00BC3DC2" w:rsidRPr="00B44E69" w:rsidRDefault="003E6EAF" w:rsidP="0033500F">
      <w:pPr>
        <w:spacing w:before="40" w:after="40" w:line="276" w:lineRule="auto"/>
        <w:jc w:val="both"/>
        <w:rPr>
          <w:rFonts w:cs="Levenim MT"/>
        </w:rPr>
      </w:pPr>
      <w:r w:rsidRPr="00B44E69">
        <w:rPr>
          <w:rFonts w:cs="Levenim MT"/>
        </w:rPr>
        <w:t>Od ukupnog iznosa obveza dospjelo je ukupno 1.910.611,00 kn dok nedospjele obveze iznose 7.528.116,00 kn.</w:t>
      </w:r>
    </w:p>
    <w:p w:rsidR="003E6EAF" w:rsidRPr="00B44E69" w:rsidRDefault="003E6EAF" w:rsidP="0033500F">
      <w:pPr>
        <w:spacing w:before="40" w:after="40" w:line="276" w:lineRule="auto"/>
        <w:jc w:val="both"/>
        <w:rPr>
          <w:rFonts w:cs="Levenim MT"/>
        </w:rPr>
      </w:pPr>
    </w:p>
    <w:p w:rsidR="00BC3DC2" w:rsidRPr="00B44E69" w:rsidRDefault="00BC3DC2" w:rsidP="0033500F">
      <w:pPr>
        <w:spacing w:before="40" w:after="40" w:line="276" w:lineRule="auto"/>
        <w:jc w:val="both"/>
        <w:rPr>
          <w:rFonts w:cs="Levenim MT"/>
        </w:rPr>
      </w:pPr>
      <w:r w:rsidRPr="00B44E69">
        <w:rPr>
          <w:rFonts w:cs="Levenim MT"/>
        </w:rPr>
        <w:t xml:space="preserve">U Zagrebu, </w:t>
      </w:r>
      <w:r w:rsidR="0033500F" w:rsidRPr="00B44E69">
        <w:rPr>
          <w:rFonts w:cs="Levenim MT"/>
        </w:rPr>
        <w:t>0</w:t>
      </w:r>
      <w:r w:rsidR="003E6EAF" w:rsidRPr="00B44E69">
        <w:rPr>
          <w:rFonts w:cs="Levenim MT"/>
        </w:rPr>
        <w:t>1</w:t>
      </w:r>
      <w:r w:rsidRPr="00B44E69">
        <w:rPr>
          <w:rFonts w:cs="Levenim MT"/>
        </w:rPr>
        <w:t>.02.201</w:t>
      </w:r>
      <w:r w:rsidR="003E6EAF" w:rsidRPr="00B44E69">
        <w:rPr>
          <w:rFonts w:cs="Levenim MT"/>
        </w:rPr>
        <w:t>6</w:t>
      </w:r>
      <w:r w:rsidRPr="00B44E69">
        <w:rPr>
          <w:rFonts w:cs="Levenim MT"/>
        </w:rPr>
        <w:t xml:space="preserve"> </w:t>
      </w:r>
    </w:p>
    <w:p w:rsidR="00BC3DC2" w:rsidRPr="00B44E69" w:rsidRDefault="00BC3DC2" w:rsidP="0033500F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szCs w:val="22"/>
          <w:lang w:val="hr-HR"/>
        </w:rPr>
      </w:pPr>
    </w:p>
    <w:p w:rsidR="00BC3DC2" w:rsidRPr="00B44E69" w:rsidRDefault="00BC3DC2" w:rsidP="0033500F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>Osoba za kontaktiranje:</w:t>
      </w:r>
    </w:p>
    <w:p w:rsidR="00BC3DC2" w:rsidRPr="00B44E69" w:rsidRDefault="0033500F" w:rsidP="0033500F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 xml:space="preserve">Voditeljica </w:t>
      </w:r>
      <w:r w:rsidR="00BC3DC2" w:rsidRPr="00B44E69">
        <w:rPr>
          <w:rFonts w:asciiTheme="minorHAnsi" w:hAnsiTheme="minorHAnsi" w:cs="Levenim MT"/>
          <w:szCs w:val="22"/>
          <w:lang w:val="hr-HR"/>
        </w:rPr>
        <w:t xml:space="preserve">Službe za </w:t>
      </w:r>
      <w:r w:rsidRPr="00B44E69">
        <w:rPr>
          <w:rFonts w:asciiTheme="minorHAnsi" w:hAnsiTheme="minorHAnsi" w:cs="Levenim MT"/>
          <w:szCs w:val="22"/>
          <w:lang w:val="hr-HR"/>
        </w:rPr>
        <w:t>gospodarstvene poslove</w:t>
      </w:r>
    </w:p>
    <w:p w:rsidR="00BC3DC2" w:rsidRPr="00B44E69" w:rsidRDefault="00BC3DC2" w:rsidP="0033500F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B44E69">
        <w:rPr>
          <w:rFonts w:asciiTheme="minorHAnsi" w:hAnsiTheme="minorHAnsi" w:cs="Levenim MT"/>
          <w:szCs w:val="22"/>
          <w:lang w:val="hr-HR"/>
        </w:rPr>
        <w:t xml:space="preserve">Ana Mikuš, dipl.oec. </w:t>
      </w:r>
    </w:p>
    <w:p w:rsidR="00BC3DC2" w:rsidRPr="00B44E69" w:rsidRDefault="00BC3DC2" w:rsidP="0033500F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Cs w:val="22"/>
          <w:lang w:val="hr-HR"/>
        </w:rPr>
      </w:pPr>
    </w:p>
    <w:p w:rsidR="00BC3DC2" w:rsidRPr="00B44E69" w:rsidRDefault="00BC3DC2" w:rsidP="00C41646">
      <w:pPr>
        <w:pStyle w:val="HeaderBase"/>
        <w:spacing w:before="40" w:after="40" w:line="276" w:lineRule="auto"/>
        <w:ind w:left="7080" w:firstLine="0"/>
        <w:jc w:val="center"/>
        <w:rPr>
          <w:rFonts w:asciiTheme="minorHAnsi" w:hAnsiTheme="minorHAnsi" w:cs="Levenim MT"/>
          <w:b/>
          <w:szCs w:val="22"/>
          <w:lang w:val="hr-HR"/>
        </w:rPr>
      </w:pPr>
      <w:r w:rsidRPr="00B44E69">
        <w:rPr>
          <w:rFonts w:asciiTheme="minorHAnsi" w:hAnsiTheme="minorHAnsi" w:cs="Levenim MT"/>
          <w:b/>
          <w:szCs w:val="22"/>
          <w:lang w:val="hr-HR"/>
        </w:rPr>
        <w:t>Zakonski predstavnik</w:t>
      </w:r>
      <w:r w:rsidRPr="00B44E69">
        <w:rPr>
          <w:rFonts w:asciiTheme="minorHAnsi" w:hAnsiTheme="minorHAnsi" w:cs="Levenim MT"/>
          <w:b/>
          <w:szCs w:val="22"/>
          <w:lang w:val="hr-HR"/>
        </w:rPr>
        <w:br/>
        <w:t>Ravnatelj</w:t>
      </w:r>
      <w:r w:rsidRPr="00B44E69">
        <w:rPr>
          <w:rFonts w:asciiTheme="minorHAnsi" w:hAnsiTheme="minorHAnsi" w:cs="Levenim MT"/>
          <w:b/>
          <w:szCs w:val="22"/>
          <w:lang w:val="hr-HR"/>
        </w:rPr>
        <w:br/>
      </w:r>
      <w:r w:rsidRPr="00B44E69">
        <w:rPr>
          <w:rFonts w:asciiTheme="minorHAnsi" w:hAnsiTheme="minorHAnsi" w:cs="Levenim MT"/>
          <w:b/>
          <w:szCs w:val="22"/>
        </w:rPr>
        <w:t>Zvonimir Šostar, dr.med.</w:t>
      </w:r>
    </w:p>
    <w:p w:rsidR="00BC3DC2" w:rsidRPr="00B44E69" w:rsidRDefault="00BC3DC2" w:rsidP="0033500F">
      <w:pPr>
        <w:spacing w:before="40" w:after="40" w:line="276" w:lineRule="auto"/>
        <w:jc w:val="both"/>
        <w:rPr>
          <w:rFonts w:eastAsia="Calibri" w:cs="Microsoft Sans Serif"/>
        </w:rPr>
      </w:pPr>
    </w:p>
    <w:p w:rsidR="00BC3DC2" w:rsidRPr="00B44E69" w:rsidRDefault="00BC3DC2" w:rsidP="0033500F">
      <w:pPr>
        <w:spacing w:before="40" w:after="40" w:line="276" w:lineRule="auto"/>
        <w:jc w:val="both"/>
        <w:rPr>
          <w:rFonts w:eastAsia="Calibri" w:cs="Microsoft Sans Serif"/>
        </w:rPr>
      </w:pPr>
    </w:p>
    <w:p w:rsidR="00BC3DC2" w:rsidRPr="00B44E69" w:rsidRDefault="00BC3DC2" w:rsidP="0033500F">
      <w:pPr>
        <w:spacing w:before="40" w:after="40" w:line="276" w:lineRule="auto"/>
        <w:jc w:val="both"/>
        <w:rPr>
          <w:rFonts w:eastAsia="Calibri" w:cs="Microsoft Sans Serif"/>
        </w:rPr>
      </w:pPr>
    </w:p>
    <w:p w:rsidR="00BC3DC2" w:rsidRPr="00B44E69" w:rsidRDefault="00BC3DC2" w:rsidP="0033500F">
      <w:pPr>
        <w:spacing w:before="40" w:after="40" w:line="276" w:lineRule="auto"/>
        <w:jc w:val="both"/>
        <w:rPr>
          <w:rFonts w:eastAsia="Calibri" w:cs="Microsoft Sans Serif"/>
        </w:rPr>
      </w:pPr>
    </w:p>
    <w:p w:rsidR="001C13E5" w:rsidRPr="00B44E69" w:rsidRDefault="001C13E5" w:rsidP="0033500F">
      <w:pPr>
        <w:shd w:val="clear" w:color="auto" w:fill="E6E6E6"/>
        <w:spacing w:before="40" w:after="40" w:line="276" w:lineRule="auto"/>
        <w:jc w:val="both"/>
        <w:rPr>
          <w:rFonts w:eastAsia="Calibri" w:cs="Microsoft Sans Serif"/>
          <w:b/>
        </w:rPr>
        <w:sectPr w:rsidR="001C13E5" w:rsidRPr="00B44E69" w:rsidSect="001D474C">
          <w:headerReference w:type="default" r:id="rId8"/>
          <w:footerReference w:type="default" r:id="rId9"/>
          <w:pgSz w:w="11906" w:h="16838" w:code="9"/>
          <w:pgMar w:top="1928" w:right="924" w:bottom="1191" w:left="1418" w:header="567" w:footer="567" w:gutter="0"/>
          <w:cols w:space="708"/>
          <w:docGrid w:linePitch="360"/>
        </w:sectPr>
      </w:pPr>
    </w:p>
    <w:p w:rsidR="001C13E5" w:rsidRPr="00B44E69" w:rsidRDefault="001C13E5" w:rsidP="00437C97">
      <w:pPr>
        <w:spacing w:before="40" w:after="40" w:line="276" w:lineRule="auto"/>
        <w:jc w:val="both"/>
        <w:rPr>
          <w:rFonts w:eastAsia="Calibri" w:cs="Microsoft Sans Serif"/>
          <w:b/>
        </w:rPr>
      </w:pPr>
    </w:p>
    <w:tbl>
      <w:tblPr>
        <w:tblpPr w:leftFromText="180" w:rightFromText="180" w:vertAnchor="text" w:horzAnchor="margin" w:tblpX="-431" w:tblpY="62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3"/>
        <w:gridCol w:w="1435"/>
        <w:gridCol w:w="1436"/>
        <w:gridCol w:w="1436"/>
        <w:gridCol w:w="1435"/>
        <w:gridCol w:w="1436"/>
        <w:gridCol w:w="1436"/>
        <w:gridCol w:w="1436"/>
      </w:tblGrid>
      <w:tr w:rsidR="00B44E69" w:rsidRPr="00B44E69" w:rsidTr="005E58F6">
        <w:trPr>
          <w:trHeight w:val="765"/>
        </w:trPr>
        <w:tc>
          <w:tcPr>
            <w:tcW w:w="5113" w:type="dxa"/>
            <w:shd w:val="clear" w:color="auto" w:fill="E6E6E6"/>
            <w:vAlign w:val="center"/>
          </w:tcPr>
          <w:p w:rsidR="005E58F6" w:rsidRPr="00B44E69" w:rsidRDefault="005E58F6" w:rsidP="0033500F">
            <w:pPr>
              <w:spacing w:before="40" w:after="40" w:line="276" w:lineRule="auto"/>
              <w:jc w:val="both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5E58F6" w:rsidRPr="00B44E69" w:rsidRDefault="005E58F6" w:rsidP="00F45479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Potraživanja na dan 31.12.201</w:t>
            </w:r>
            <w:r w:rsidR="00F45479" w:rsidRPr="00B44E69">
              <w:rPr>
                <w:rFonts w:cs="Microsoft Sans Serif"/>
                <w:b/>
                <w:bCs/>
                <w:sz w:val="20"/>
                <w:szCs w:val="20"/>
              </w:rPr>
              <w:t>5</w:t>
            </w: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6" w:type="dxa"/>
            <w:shd w:val="clear" w:color="auto" w:fill="E6E6E6"/>
            <w:vAlign w:val="center"/>
          </w:tcPr>
          <w:p w:rsidR="005E58F6" w:rsidRPr="00B44E69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Ukupno dospjela potraživanja</w:t>
            </w:r>
          </w:p>
        </w:tc>
        <w:tc>
          <w:tcPr>
            <w:tcW w:w="1436" w:type="dxa"/>
            <w:shd w:val="clear" w:color="auto" w:fill="E6E6E6"/>
            <w:vAlign w:val="center"/>
          </w:tcPr>
          <w:p w:rsidR="005E58F6" w:rsidRPr="00B44E69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Dospjelo do 90 dana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5E58F6" w:rsidRPr="00B44E69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Dospjelo od 90 do 120 dana</w:t>
            </w:r>
          </w:p>
        </w:tc>
        <w:tc>
          <w:tcPr>
            <w:tcW w:w="1436" w:type="dxa"/>
            <w:shd w:val="clear" w:color="auto" w:fill="E6E6E6"/>
            <w:vAlign w:val="center"/>
          </w:tcPr>
          <w:p w:rsidR="005E58F6" w:rsidRPr="00B44E69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Dospjelo od 120 do 150 dana</w:t>
            </w:r>
          </w:p>
        </w:tc>
        <w:tc>
          <w:tcPr>
            <w:tcW w:w="1436" w:type="dxa"/>
            <w:shd w:val="clear" w:color="auto" w:fill="E6E6E6"/>
            <w:vAlign w:val="center"/>
          </w:tcPr>
          <w:p w:rsidR="005E58F6" w:rsidRPr="00B44E69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Dospjelo od 150 do 180 dana</w:t>
            </w:r>
          </w:p>
        </w:tc>
        <w:tc>
          <w:tcPr>
            <w:tcW w:w="1436" w:type="dxa"/>
            <w:shd w:val="clear" w:color="auto" w:fill="E6E6E6"/>
            <w:vAlign w:val="center"/>
          </w:tcPr>
          <w:p w:rsidR="005E58F6" w:rsidRPr="00B44E69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Dospjelo preko 180 dana</w:t>
            </w:r>
          </w:p>
        </w:tc>
      </w:tr>
      <w:tr w:rsidR="00B44E69" w:rsidRPr="00B44E69" w:rsidTr="00F45479">
        <w:trPr>
          <w:trHeight w:val="312"/>
        </w:trPr>
        <w:tc>
          <w:tcPr>
            <w:tcW w:w="5113" w:type="dxa"/>
            <w:shd w:val="clear" w:color="auto" w:fill="auto"/>
            <w:vAlign w:val="center"/>
          </w:tcPr>
          <w:p w:rsidR="00F45479" w:rsidRPr="00B44E69" w:rsidRDefault="00F45479" w:rsidP="00F45479">
            <w:pPr>
              <w:spacing w:before="40" w:after="40" w:line="276" w:lineRule="auto"/>
              <w:jc w:val="both"/>
              <w:rPr>
                <w:rFonts w:cs="Microsoft Sans Serif"/>
                <w:sz w:val="20"/>
                <w:szCs w:val="20"/>
              </w:rPr>
            </w:pPr>
            <w:r w:rsidRPr="00B44E69">
              <w:rPr>
                <w:rFonts w:cs="Microsoft Sans Serif"/>
                <w:sz w:val="20"/>
                <w:szCs w:val="20"/>
              </w:rPr>
              <w:t>Potraživanja od HZZO-a po osnovu pružanja zdrav. zaštite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4.840.897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70.007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70.007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0</w:t>
            </w:r>
          </w:p>
        </w:tc>
      </w:tr>
      <w:tr w:rsidR="00B44E69" w:rsidRPr="00B44E69" w:rsidTr="00F45479">
        <w:trPr>
          <w:trHeight w:val="312"/>
        </w:trPr>
        <w:tc>
          <w:tcPr>
            <w:tcW w:w="5113" w:type="dxa"/>
            <w:shd w:val="clear" w:color="auto" w:fill="auto"/>
            <w:vAlign w:val="center"/>
          </w:tcPr>
          <w:p w:rsidR="00F45479" w:rsidRPr="00B44E69" w:rsidRDefault="00F45479" w:rsidP="00F45479">
            <w:pPr>
              <w:spacing w:before="40" w:after="40" w:line="276" w:lineRule="auto"/>
              <w:jc w:val="both"/>
              <w:rPr>
                <w:rFonts w:cs="Microsoft Sans Serif"/>
                <w:sz w:val="20"/>
                <w:szCs w:val="20"/>
              </w:rPr>
            </w:pPr>
            <w:r w:rsidRPr="00B44E69">
              <w:rPr>
                <w:rFonts w:cs="Microsoft Sans Serif"/>
                <w:sz w:val="20"/>
                <w:szCs w:val="20"/>
              </w:rPr>
              <w:t xml:space="preserve">Potraživanja od drugih zdravstvenih ustanova 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1.029.423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585.209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451.595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23.579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13.142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33.734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63.159</w:t>
            </w:r>
          </w:p>
        </w:tc>
      </w:tr>
      <w:tr w:rsidR="00B44E69" w:rsidRPr="00B44E69" w:rsidTr="00F45479">
        <w:trPr>
          <w:trHeight w:val="312"/>
        </w:trPr>
        <w:tc>
          <w:tcPr>
            <w:tcW w:w="5113" w:type="dxa"/>
            <w:shd w:val="clear" w:color="auto" w:fill="auto"/>
            <w:vAlign w:val="center"/>
          </w:tcPr>
          <w:p w:rsidR="00F45479" w:rsidRPr="00B44E69" w:rsidRDefault="00F45479" w:rsidP="00F45479">
            <w:pPr>
              <w:spacing w:before="40" w:after="40" w:line="276" w:lineRule="auto"/>
              <w:jc w:val="both"/>
              <w:rPr>
                <w:rFonts w:cs="Microsoft Sans Serif"/>
                <w:sz w:val="20"/>
                <w:szCs w:val="20"/>
              </w:rPr>
            </w:pPr>
            <w:r w:rsidRPr="00B44E69">
              <w:rPr>
                <w:rFonts w:cs="Microsoft Sans Serif"/>
                <w:sz w:val="20"/>
                <w:szCs w:val="20"/>
              </w:rPr>
              <w:t xml:space="preserve">Ostala potraživanja 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8.413.704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4.827.966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1.904.411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119.851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197.955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70.925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2.534.824</w:t>
            </w:r>
          </w:p>
        </w:tc>
      </w:tr>
      <w:tr w:rsidR="00B44E69" w:rsidRPr="00B44E69" w:rsidTr="00F45479">
        <w:trPr>
          <w:trHeight w:val="312"/>
        </w:trPr>
        <w:tc>
          <w:tcPr>
            <w:tcW w:w="5113" w:type="dxa"/>
            <w:shd w:val="clear" w:color="auto" w:fill="D9D9D9"/>
            <w:vAlign w:val="center"/>
          </w:tcPr>
          <w:p w:rsidR="00F45479" w:rsidRPr="00B44E69" w:rsidRDefault="00F45479" w:rsidP="00F45479">
            <w:pPr>
              <w:spacing w:before="40" w:after="40" w:line="276" w:lineRule="auto"/>
              <w:jc w:val="both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35" w:type="dxa"/>
            <w:shd w:val="clear" w:color="auto" w:fill="D9D9D9" w:themeFill="background1" w:themeFillShade="D9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14.284.024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5.483.182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2.426.013</w:t>
            </w:r>
          </w:p>
        </w:tc>
        <w:tc>
          <w:tcPr>
            <w:tcW w:w="1435" w:type="dxa"/>
            <w:shd w:val="clear" w:color="auto" w:fill="D9D9D9" w:themeFill="background1" w:themeFillShade="D9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143.430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211.097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104.659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</w:tcPr>
          <w:p w:rsidR="00F45479" w:rsidRPr="00B44E69" w:rsidRDefault="00F45479" w:rsidP="00F45479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 w:rsidRPr="00B44E69">
              <w:rPr>
                <w:sz w:val="20"/>
                <w:szCs w:val="20"/>
              </w:rPr>
              <w:t>2.597.983</w:t>
            </w:r>
          </w:p>
        </w:tc>
      </w:tr>
    </w:tbl>
    <w:p w:rsidR="001C13E5" w:rsidRPr="00B44E69" w:rsidRDefault="001C13E5" w:rsidP="0033500F">
      <w:pPr>
        <w:spacing w:before="40" w:after="40" w:line="276" w:lineRule="auto"/>
        <w:jc w:val="both"/>
        <w:rPr>
          <w:rFonts w:eastAsia="Calibri" w:cs="Microsoft Sans Serif"/>
          <w:b/>
        </w:rPr>
      </w:pPr>
      <w:r w:rsidRPr="00B44E69">
        <w:rPr>
          <w:rFonts w:eastAsia="Calibri" w:cs="Microsoft Sans Serif"/>
          <w:b/>
        </w:rPr>
        <w:t xml:space="preserve">Potraživanja od kupaca prema dospijeću na dan </w:t>
      </w:r>
      <w:r w:rsidR="0080389D" w:rsidRPr="00B44E69">
        <w:rPr>
          <w:rFonts w:eastAsia="Calibri" w:cs="Microsoft Sans Serif"/>
          <w:b/>
        </w:rPr>
        <w:t>31.12.201</w:t>
      </w:r>
      <w:r w:rsidR="00F45479" w:rsidRPr="00B44E69">
        <w:rPr>
          <w:rFonts w:eastAsia="Calibri" w:cs="Microsoft Sans Serif"/>
          <w:b/>
        </w:rPr>
        <w:t>5</w:t>
      </w:r>
      <w:r w:rsidRPr="00B44E69">
        <w:rPr>
          <w:rFonts w:eastAsia="Calibri" w:cs="Microsoft Sans Serif"/>
          <w:b/>
        </w:rPr>
        <w:t>. godine</w:t>
      </w:r>
    </w:p>
    <w:p w:rsidR="00F90330" w:rsidRPr="00B44E69" w:rsidRDefault="00F90330" w:rsidP="0033500F">
      <w:pPr>
        <w:tabs>
          <w:tab w:val="left" w:pos="2770"/>
        </w:tabs>
        <w:spacing w:before="40" w:after="40" w:line="276" w:lineRule="auto"/>
        <w:jc w:val="both"/>
        <w:rPr>
          <w:rFonts w:eastAsia="Calibri" w:cs="Microsoft Sans Serif"/>
          <w:b/>
          <w:sz w:val="20"/>
          <w:szCs w:val="20"/>
        </w:rPr>
      </w:pPr>
    </w:p>
    <w:p w:rsidR="001C13E5" w:rsidRPr="00B44E69" w:rsidRDefault="001C13E5" w:rsidP="0033500F">
      <w:pPr>
        <w:tabs>
          <w:tab w:val="left" w:pos="2770"/>
        </w:tabs>
        <w:spacing w:before="40" w:after="40" w:line="276" w:lineRule="auto"/>
        <w:jc w:val="both"/>
        <w:rPr>
          <w:rFonts w:eastAsia="Calibri" w:cs="Microsoft Sans Serif"/>
          <w:b/>
          <w:sz w:val="20"/>
          <w:szCs w:val="20"/>
        </w:rPr>
      </w:pPr>
      <w:r w:rsidRPr="00B44E69">
        <w:rPr>
          <w:rFonts w:eastAsia="Calibri" w:cs="Microsoft Sans Serif"/>
          <w:b/>
          <w:sz w:val="20"/>
          <w:szCs w:val="20"/>
        </w:rPr>
        <w:t xml:space="preserve">Potraživanja od kupaca – pregled nastalih i naplaćenih potraživanja prema grupama kupaca na dan </w:t>
      </w:r>
      <w:r w:rsidR="0080389D" w:rsidRPr="00B44E69">
        <w:rPr>
          <w:rFonts w:eastAsia="Calibri" w:cs="Microsoft Sans Serif"/>
          <w:b/>
          <w:sz w:val="20"/>
          <w:szCs w:val="20"/>
        </w:rPr>
        <w:t>31.12.201</w:t>
      </w:r>
      <w:r w:rsidR="00F45479" w:rsidRPr="00B44E69">
        <w:rPr>
          <w:rFonts w:eastAsia="Calibri" w:cs="Microsoft Sans Serif"/>
          <w:b/>
          <w:sz w:val="20"/>
          <w:szCs w:val="20"/>
        </w:rPr>
        <w:t>5</w:t>
      </w:r>
      <w:r w:rsidRPr="00B44E69">
        <w:rPr>
          <w:rFonts w:eastAsia="Calibri" w:cs="Microsoft Sans Serif"/>
          <w:b/>
          <w:sz w:val="20"/>
          <w:szCs w:val="20"/>
        </w:rPr>
        <w:t>.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417"/>
        <w:gridCol w:w="1276"/>
      </w:tblGrid>
      <w:tr w:rsidR="00B44E69" w:rsidRPr="00B44E69" w:rsidTr="00F45479">
        <w:trPr>
          <w:trHeight w:val="397"/>
        </w:trPr>
        <w:tc>
          <w:tcPr>
            <w:tcW w:w="2553" w:type="dxa"/>
            <w:vMerge w:val="restart"/>
            <w:shd w:val="clear" w:color="auto" w:fill="auto"/>
            <w:noWrap/>
            <w:vAlign w:val="center"/>
            <w:hideMark/>
          </w:tcPr>
          <w:p w:rsidR="001C13E5" w:rsidRPr="00B44E69" w:rsidRDefault="001C13E5" w:rsidP="00F45479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1C13E5" w:rsidRPr="00B44E69" w:rsidRDefault="001C13E5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POTRAŽIVANJA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1C13E5" w:rsidRPr="00B44E69" w:rsidRDefault="001C13E5" w:rsidP="00F45479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 xml:space="preserve">NAPLAĆENO do </w:t>
            </w:r>
            <w:r w:rsidR="0080389D" w:rsidRPr="00B44E69">
              <w:rPr>
                <w:rFonts w:cs="Microsoft Sans Serif"/>
                <w:b/>
                <w:bCs/>
                <w:sz w:val="20"/>
                <w:szCs w:val="20"/>
              </w:rPr>
              <w:t>31.12.201</w:t>
            </w:r>
            <w:r w:rsidR="00F45479" w:rsidRPr="00B44E69">
              <w:rPr>
                <w:rFonts w:cs="Microsoft Sans Serif"/>
                <w:b/>
                <w:bCs/>
                <w:sz w:val="20"/>
                <w:szCs w:val="20"/>
              </w:rPr>
              <w:t>5</w:t>
            </w: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13E5" w:rsidRPr="00B44E69" w:rsidRDefault="001C13E5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OTPIS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13E5" w:rsidRPr="00B44E69" w:rsidRDefault="001C13E5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NENAPLAĆENA POTRAŽIVANJA</w:t>
            </w:r>
          </w:p>
        </w:tc>
      </w:tr>
      <w:tr w:rsidR="00B44E69" w:rsidRPr="00B44E69" w:rsidTr="00F45479">
        <w:trPr>
          <w:trHeight w:val="599"/>
        </w:trPr>
        <w:tc>
          <w:tcPr>
            <w:tcW w:w="2553" w:type="dxa"/>
            <w:vMerge/>
            <w:vAlign w:val="center"/>
            <w:hideMark/>
          </w:tcPr>
          <w:p w:rsidR="00F45479" w:rsidRPr="00B44E69" w:rsidRDefault="00F45479" w:rsidP="00F45479">
            <w:pPr>
              <w:spacing w:before="40" w:after="40" w:line="276" w:lineRule="auto"/>
              <w:jc w:val="both"/>
              <w:rPr>
                <w:rFonts w:cs="Microsoft Sans Serif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5479" w:rsidRPr="00B44E69" w:rsidRDefault="00F45479" w:rsidP="00F45479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B44E69">
              <w:rPr>
                <w:rFonts w:cs="Arial"/>
                <w:bCs/>
                <w:sz w:val="20"/>
                <w:szCs w:val="20"/>
              </w:rPr>
              <w:t>Potraživanja</w:t>
            </w:r>
            <w:r w:rsidRPr="00B44E69">
              <w:rPr>
                <w:rFonts w:cs="Arial"/>
                <w:bCs/>
                <w:sz w:val="20"/>
                <w:szCs w:val="20"/>
              </w:rPr>
              <w:br/>
              <w:t>nastala do 31.12.2014.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B44E69" w:rsidRDefault="00F45479" w:rsidP="00F45479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B44E69">
              <w:rPr>
                <w:rFonts w:cs="Arial"/>
                <w:bCs/>
                <w:sz w:val="20"/>
                <w:szCs w:val="20"/>
              </w:rPr>
              <w:t>Potraživanja</w:t>
            </w:r>
            <w:r w:rsidRPr="00B44E69">
              <w:rPr>
                <w:rFonts w:cs="Arial"/>
                <w:bCs/>
                <w:sz w:val="20"/>
                <w:szCs w:val="20"/>
              </w:rPr>
              <w:br/>
              <w:t>nastala u 2015.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B44E69" w:rsidRDefault="00F45479" w:rsidP="00F45479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B44E69">
              <w:rPr>
                <w:rFonts w:cs="Arial"/>
                <w:bCs/>
                <w:sz w:val="20"/>
                <w:szCs w:val="20"/>
              </w:rPr>
              <w:t>UKUPNO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5479" w:rsidRPr="00B44E69" w:rsidRDefault="00F45479" w:rsidP="00F45479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B44E69">
              <w:rPr>
                <w:rFonts w:cs="Arial"/>
                <w:bCs/>
                <w:sz w:val="20"/>
                <w:szCs w:val="20"/>
              </w:rPr>
              <w:t>Potraživanja</w:t>
            </w:r>
            <w:r w:rsidRPr="00B44E69">
              <w:rPr>
                <w:rFonts w:cs="Arial"/>
                <w:bCs/>
                <w:sz w:val="20"/>
                <w:szCs w:val="20"/>
              </w:rPr>
              <w:br/>
              <w:t>nastala do 31.12.2014.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B44E69" w:rsidRDefault="00F45479" w:rsidP="00F45479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B44E69">
              <w:rPr>
                <w:rFonts w:cs="Arial"/>
                <w:bCs/>
                <w:sz w:val="20"/>
                <w:szCs w:val="20"/>
              </w:rPr>
              <w:t>Potraživanja nastala u 2015.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B44E69" w:rsidRDefault="00F45479" w:rsidP="00F45479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B44E69">
              <w:rPr>
                <w:rFonts w:cs="Arial"/>
                <w:bCs/>
                <w:sz w:val="20"/>
                <w:szCs w:val="20"/>
              </w:rPr>
              <w:t>UKUPNO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B44E69" w:rsidRDefault="00F45479" w:rsidP="00F45479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B44E69">
              <w:rPr>
                <w:rFonts w:cs="Arial"/>
                <w:bCs/>
                <w:sz w:val="20"/>
                <w:szCs w:val="20"/>
              </w:rPr>
              <w:t>Potraživanja</w:t>
            </w:r>
            <w:r w:rsidRPr="00B44E69">
              <w:rPr>
                <w:rFonts w:cs="Arial"/>
                <w:bCs/>
                <w:sz w:val="20"/>
                <w:szCs w:val="20"/>
              </w:rPr>
              <w:br/>
              <w:t>nastala do 31.12.2014.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B44E69" w:rsidRDefault="00F45479" w:rsidP="00F45479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B44E69">
              <w:rPr>
                <w:rFonts w:cs="Arial"/>
                <w:bCs/>
                <w:sz w:val="20"/>
                <w:szCs w:val="20"/>
              </w:rPr>
              <w:t>Potraživanja</w:t>
            </w:r>
            <w:r w:rsidRPr="00B44E69">
              <w:rPr>
                <w:rFonts w:cs="Arial"/>
                <w:bCs/>
                <w:sz w:val="20"/>
                <w:szCs w:val="20"/>
              </w:rPr>
              <w:br/>
              <w:t xml:space="preserve"> nastala do 31.12.2014.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5479" w:rsidRPr="00B44E69" w:rsidRDefault="00F45479" w:rsidP="00F45479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B44E69">
              <w:rPr>
                <w:rFonts w:cs="Arial"/>
                <w:bCs/>
                <w:sz w:val="20"/>
                <w:szCs w:val="20"/>
              </w:rPr>
              <w:t>Potraživanja</w:t>
            </w:r>
            <w:r w:rsidRPr="00B44E69">
              <w:rPr>
                <w:rFonts w:cs="Arial"/>
                <w:bCs/>
                <w:sz w:val="20"/>
                <w:szCs w:val="20"/>
              </w:rPr>
              <w:br/>
              <w:t>nastala u 2015.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B44E69" w:rsidRDefault="00F45479" w:rsidP="00F45479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B44E69">
              <w:rPr>
                <w:rFonts w:cs="Arial"/>
                <w:bCs/>
                <w:sz w:val="20"/>
                <w:szCs w:val="20"/>
              </w:rPr>
              <w:t>UKUPNO</w:t>
            </w:r>
          </w:p>
        </w:tc>
      </w:tr>
      <w:tr w:rsidR="00B44E69" w:rsidRPr="00B44E69" w:rsidTr="00F45479">
        <w:trPr>
          <w:trHeight w:val="20"/>
        </w:trPr>
        <w:tc>
          <w:tcPr>
            <w:tcW w:w="2553" w:type="dxa"/>
            <w:shd w:val="clear" w:color="CCCCFF" w:fill="C0C0C0"/>
            <w:noWrap/>
            <w:vAlign w:val="bottom"/>
            <w:hideMark/>
          </w:tcPr>
          <w:p w:rsidR="001C13E5" w:rsidRPr="00B44E69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</w:pPr>
            <w:r w:rsidRPr="00B44E69"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275" w:type="dxa"/>
            <w:shd w:val="clear" w:color="CCCCFF" w:fill="C0C0C0"/>
            <w:noWrap/>
            <w:vAlign w:val="bottom"/>
            <w:hideMark/>
          </w:tcPr>
          <w:p w:rsidR="001C13E5" w:rsidRPr="00B44E69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</w:pPr>
            <w:r w:rsidRPr="00B44E69"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B44E69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</w:pPr>
            <w:r w:rsidRPr="00B44E69"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B44E69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</w:pPr>
            <w:r w:rsidRPr="00B44E69"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5" w:type="dxa"/>
            <w:shd w:val="clear" w:color="CCCCFF" w:fill="C0C0C0"/>
            <w:noWrap/>
            <w:vAlign w:val="bottom"/>
            <w:hideMark/>
          </w:tcPr>
          <w:p w:rsidR="001C13E5" w:rsidRPr="00B44E69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</w:pPr>
            <w:r w:rsidRPr="00B44E69"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B44E69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</w:pPr>
            <w:r w:rsidRPr="00B44E69"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B44E69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</w:pPr>
            <w:r w:rsidRPr="00B44E69"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B44E69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</w:pPr>
            <w:r w:rsidRPr="00B44E69"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B44E69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</w:pPr>
            <w:r w:rsidRPr="00B44E69"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417" w:type="dxa"/>
            <w:shd w:val="clear" w:color="CCCCFF" w:fill="C0C0C0"/>
            <w:noWrap/>
            <w:vAlign w:val="bottom"/>
            <w:hideMark/>
          </w:tcPr>
          <w:p w:rsidR="001C13E5" w:rsidRPr="00B44E69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</w:pPr>
            <w:r w:rsidRPr="00B44E69"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B44E69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</w:pPr>
            <w:r w:rsidRPr="00B44E69">
              <w:rPr>
                <w:rFonts w:cs="Microsoft Sans Serif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</w:tr>
      <w:tr w:rsidR="00B44E69" w:rsidRPr="00B44E69" w:rsidTr="00236025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45479" w:rsidRPr="00B831E9" w:rsidRDefault="00F45479" w:rsidP="00F45479">
            <w:pPr>
              <w:spacing w:beforeLines="20" w:before="48" w:afterLines="20" w:after="48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831E9">
              <w:rPr>
                <w:rFonts w:eastAsia="Times New Roman" w:cs="Arial"/>
                <w:sz w:val="20"/>
                <w:szCs w:val="20"/>
                <w:lang w:eastAsia="hr-HR"/>
              </w:rPr>
              <w:t>HZZO - glavarina i programi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2.357.957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27.130.199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29.488.156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2.357.957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24.762.796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27.120.753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2.367.403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2.367.403</w:t>
            </w:r>
          </w:p>
        </w:tc>
      </w:tr>
      <w:tr w:rsidR="00B44E69" w:rsidRPr="00B44E69" w:rsidTr="00236025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45479" w:rsidRPr="00B831E9" w:rsidRDefault="00F45479" w:rsidP="00F45479">
            <w:pPr>
              <w:spacing w:beforeLines="20" w:before="48" w:afterLines="20" w:after="48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44E69">
              <w:rPr>
                <w:rFonts w:eastAsia="Times New Roman" w:cs="Arial"/>
                <w:sz w:val="20"/>
                <w:szCs w:val="20"/>
                <w:lang w:eastAsia="hr-HR"/>
              </w:rPr>
              <w:t>HZZO - mikrobiologija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1.746.201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11.404.118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13.150.319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837.626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8.930.624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9.768.250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908.575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2.473.494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2.473.494</w:t>
            </w:r>
          </w:p>
        </w:tc>
      </w:tr>
      <w:tr w:rsidR="00B44E69" w:rsidRPr="00B44E69" w:rsidTr="00236025">
        <w:trPr>
          <w:trHeight w:val="397"/>
        </w:trPr>
        <w:tc>
          <w:tcPr>
            <w:tcW w:w="2553" w:type="dxa"/>
            <w:shd w:val="clear" w:color="auto" w:fill="DEEAF6" w:themeFill="accent1" w:themeFillTint="33"/>
            <w:noWrap/>
            <w:vAlign w:val="center"/>
            <w:hideMark/>
          </w:tcPr>
          <w:p w:rsidR="00F45479" w:rsidRPr="00B831E9" w:rsidRDefault="00F45479" w:rsidP="00F45479">
            <w:pPr>
              <w:spacing w:beforeLines="20" w:before="48" w:afterLines="20" w:after="48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B831E9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UKUPNO HZZO</w:t>
            </w:r>
          </w:p>
        </w:tc>
        <w:tc>
          <w:tcPr>
            <w:tcW w:w="1275" w:type="dxa"/>
            <w:shd w:val="clear" w:color="DEEBF7" w:fill="DEEBF7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4.104.158</w:t>
            </w:r>
          </w:p>
        </w:tc>
        <w:tc>
          <w:tcPr>
            <w:tcW w:w="1276" w:type="dxa"/>
            <w:shd w:val="clear" w:color="DEEBF7" w:fill="DEEBF7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38.534.317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42.638.475</w:t>
            </w:r>
          </w:p>
        </w:tc>
        <w:tc>
          <w:tcPr>
            <w:tcW w:w="1275" w:type="dxa"/>
            <w:shd w:val="clear" w:color="DEEBF7" w:fill="DEEBF7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3.195.583</w:t>
            </w:r>
          </w:p>
        </w:tc>
        <w:tc>
          <w:tcPr>
            <w:tcW w:w="1276" w:type="dxa"/>
            <w:shd w:val="clear" w:color="DEEBF7" w:fill="DEEBF7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33.693.420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36.889.003</w:t>
            </w:r>
          </w:p>
        </w:tc>
        <w:tc>
          <w:tcPr>
            <w:tcW w:w="1276" w:type="dxa"/>
            <w:shd w:val="clear" w:color="DEEBF7" w:fill="DEEBF7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908.575</w:t>
            </w:r>
          </w:p>
        </w:tc>
        <w:tc>
          <w:tcPr>
            <w:tcW w:w="1276" w:type="dxa"/>
            <w:shd w:val="clear" w:color="DEEBF7" w:fill="DEEBF7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DEEBF7" w:fill="DEEBF7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4.840.897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4.840.897</w:t>
            </w:r>
          </w:p>
        </w:tc>
      </w:tr>
      <w:tr w:rsidR="00B44E69" w:rsidRPr="00B44E69" w:rsidTr="00236025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45479" w:rsidRPr="00B831E9" w:rsidRDefault="00F45479" w:rsidP="00F45479">
            <w:pPr>
              <w:spacing w:beforeLines="20" w:before="48" w:afterLines="20" w:after="48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831E9">
              <w:rPr>
                <w:rFonts w:eastAsia="Times New Roman" w:cs="Arial"/>
                <w:sz w:val="20"/>
                <w:szCs w:val="20"/>
                <w:lang w:eastAsia="hr-HR"/>
              </w:rPr>
              <w:t>Potraživanja od zdravstvenih ustanova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1.083.242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4.105.703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5.188.945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1.078.974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3.102.548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4.181.522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4.268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1.003.155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1.007.423</w:t>
            </w:r>
          </w:p>
        </w:tc>
      </w:tr>
      <w:tr w:rsidR="00B44E69" w:rsidRPr="00B44E69" w:rsidTr="00236025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45479" w:rsidRPr="00B831E9" w:rsidRDefault="00F45479" w:rsidP="00F45479">
            <w:pPr>
              <w:spacing w:beforeLines="20" w:before="48" w:afterLines="20" w:after="48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831E9">
              <w:rPr>
                <w:rFonts w:eastAsia="Times New Roman" w:cs="Arial"/>
                <w:sz w:val="20"/>
                <w:szCs w:val="20"/>
                <w:lang w:eastAsia="hr-HR"/>
              </w:rPr>
              <w:t>Potraživanja od privrede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6.627.650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25.553.159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32.180.809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6.176.944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20.121.795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26.298.739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58.943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391.763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5.431.364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5.823.127</w:t>
            </w:r>
          </w:p>
        </w:tc>
      </w:tr>
      <w:tr w:rsidR="00B44E69" w:rsidRPr="00B44E69" w:rsidTr="00236025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45479" w:rsidRPr="00B831E9" w:rsidRDefault="00F45479" w:rsidP="00F45479">
            <w:pPr>
              <w:spacing w:beforeLines="20" w:before="48" w:afterLines="20" w:after="48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831E9">
              <w:rPr>
                <w:rFonts w:eastAsia="Times New Roman" w:cs="Arial"/>
                <w:sz w:val="20"/>
                <w:szCs w:val="20"/>
                <w:lang w:eastAsia="hr-HR"/>
              </w:rPr>
              <w:t>Potraživanja od državnih i županijskih ustanova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1.707.275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8.884.680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10.591.955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1.707.275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8.705.748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10.413.023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178.932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178.932</w:t>
            </w:r>
          </w:p>
        </w:tc>
      </w:tr>
      <w:tr w:rsidR="00B44E69" w:rsidRPr="00B44E69" w:rsidTr="00236025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45479" w:rsidRPr="00B831E9" w:rsidRDefault="00F45479" w:rsidP="00F45479">
            <w:pPr>
              <w:spacing w:beforeLines="20" w:before="48" w:afterLines="20" w:after="48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831E9">
              <w:rPr>
                <w:rFonts w:eastAsia="Times New Roman" w:cs="Arial"/>
                <w:sz w:val="20"/>
                <w:szCs w:val="20"/>
                <w:lang w:eastAsia="hr-HR"/>
              </w:rPr>
              <w:t>Ostala potraživanja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1.010.990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5.829.917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6.840.907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1.010.203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4.884.481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5.894.684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787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945.436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946.223</w:t>
            </w:r>
          </w:p>
        </w:tc>
      </w:tr>
      <w:tr w:rsidR="00B44E69" w:rsidRPr="00B44E69" w:rsidTr="00236025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45479" w:rsidRPr="00B831E9" w:rsidRDefault="00F45479" w:rsidP="00F45479">
            <w:pPr>
              <w:spacing w:beforeLines="20" w:before="48" w:afterLines="20" w:after="48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831E9">
              <w:rPr>
                <w:rFonts w:eastAsia="Times New Roman" w:cs="Arial"/>
                <w:sz w:val="20"/>
                <w:szCs w:val="20"/>
                <w:lang w:eastAsia="hr-HR"/>
              </w:rPr>
              <w:t>Tuženi kupci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1.852.343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176.822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2.029.165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335.469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335.469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206.274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1.310.600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44E69">
              <w:rPr>
                <w:rFonts w:cs="Arial"/>
                <w:sz w:val="20"/>
                <w:szCs w:val="20"/>
              </w:rPr>
              <w:t>176.822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1.487.422</w:t>
            </w:r>
          </w:p>
        </w:tc>
      </w:tr>
      <w:tr w:rsidR="00B44E69" w:rsidRPr="00B44E69" w:rsidTr="00236025">
        <w:trPr>
          <w:trHeight w:val="397"/>
        </w:trPr>
        <w:tc>
          <w:tcPr>
            <w:tcW w:w="2553" w:type="dxa"/>
            <w:shd w:val="clear" w:color="auto" w:fill="DEEAF6" w:themeFill="accent1" w:themeFillTint="33"/>
            <w:noWrap/>
            <w:vAlign w:val="center"/>
            <w:hideMark/>
          </w:tcPr>
          <w:p w:rsidR="00F45479" w:rsidRPr="00B44E69" w:rsidRDefault="0009370A" w:rsidP="00F45479">
            <w:pPr>
              <w:spacing w:beforeLines="20" w:before="48" w:afterLines="20" w:after="48" w:line="240" w:lineRule="auto"/>
              <w:jc w:val="both"/>
              <w:rPr>
                <w:rFonts w:cs="Microsoft Sans Serif"/>
                <w:b/>
                <w:bCs/>
                <w:sz w:val="20"/>
                <w:szCs w:val="20"/>
              </w:rPr>
            </w:pPr>
            <w:r w:rsidRPr="00B44E69">
              <w:rPr>
                <w:rFonts w:cs="Microsoft Sans Serif"/>
                <w:b/>
                <w:bCs/>
                <w:sz w:val="20"/>
                <w:szCs w:val="20"/>
              </w:rPr>
              <w:t>SVE</w:t>
            </w:r>
            <w:r w:rsidR="00F45479" w:rsidRPr="00B44E69">
              <w:rPr>
                <w:rFonts w:cs="Microsoft Sans Serif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75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16.385.658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83.084.598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99.470.256</w:t>
            </w:r>
          </w:p>
        </w:tc>
        <w:tc>
          <w:tcPr>
            <w:tcW w:w="1275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13.504.448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70.507.992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84.012.440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1.173.792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1.707.418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12.576.606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F45479" w:rsidRPr="00B44E69" w:rsidRDefault="00F45479" w:rsidP="00F45479">
            <w:pPr>
              <w:spacing w:beforeLines="20" w:before="48" w:afterLines="20" w:after="48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4E69">
              <w:rPr>
                <w:rFonts w:cs="Arial"/>
                <w:b/>
                <w:bCs/>
                <w:sz w:val="20"/>
                <w:szCs w:val="20"/>
              </w:rPr>
              <w:t>14.284.024</w:t>
            </w:r>
          </w:p>
        </w:tc>
      </w:tr>
    </w:tbl>
    <w:p w:rsidR="006419D9" w:rsidRPr="00B44E69" w:rsidRDefault="006419D9" w:rsidP="008B11B0">
      <w:pPr>
        <w:spacing w:before="40" w:after="40" w:line="276" w:lineRule="auto"/>
        <w:jc w:val="both"/>
      </w:pPr>
    </w:p>
    <w:sectPr w:rsidR="006419D9" w:rsidRPr="00B44E69" w:rsidSect="00C41646">
      <w:headerReference w:type="default" r:id="rId10"/>
      <w:pgSz w:w="16840" w:h="11907" w:orient="landscape" w:code="9"/>
      <w:pgMar w:top="1418" w:right="1985" w:bottom="907" w:left="1134" w:header="56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91" w:rsidRDefault="00636091" w:rsidP="001C13E5">
      <w:pPr>
        <w:spacing w:after="0" w:line="240" w:lineRule="auto"/>
      </w:pPr>
      <w:r>
        <w:separator/>
      </w:r>
    </w:p>
  </w:endnote>
  <w:endnote w:type="continuationSeparator" w:id="0">
    <w:p w:rsidR="00636091" w:rsidRDefault="00636091" w:rsidP="001C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CB" w:rsidRDefault="00636091" w:rsidP="00F90330">
    <w:pPr>
      <w:tabs>
        <w:tab w:val="left" w:pos="5970"/>
      </w:tabs>
    </w:pPr>
    <w:sdt>
      <w:sdtPr>
        <w:id w:val="1703514940"/>
        <w:docPartObj>
          <w:docPartGallery w:val="Page Numbers (Bottom of Page)"/>
          <w:docPartUnique/>
        </w:docPartObj>
      </w:sdtPr>
      <w:sdtEndPr/>
      <w:sdtContent>
        <w:r w:rsidR="00786DCB"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Pravokutn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DCB" w:rsidRPr="001F61C6" w:rsidRDefault="00786DCB" w:rsidP="001F61C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</w:pPr>
                              <w:r w:rsidRPr="001F61C6"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F61C6"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1F61C6"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F1A9D">
                                <w:rPr>
                                  <w:noProof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1F61C6"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8" o:spid="_x0000_s1027" style="position:absolute;margin-left:0;margin-top:0;width:44.55pt;height:15.1pt;rotation:180;flip:x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IKBZsvJAgAAyg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:rsidR="00786DCB" w:rsidRPr="001F61C6" w:rsidRDefault="00786DCB" w:rsidP="001F61C6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</w:pPr>
                        <w:r w:rsidRPr="001F61C6"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  <w:fldChar w:fldCharType="begin"/>
                        </w:r>
                        <w:r w:rsidRPr="001F61C6"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1F61C6"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  <w:fldChar w:fldCharType="separate"/>
                        </w:r>
                        <w:r w:rsidR="00CF1A9D">
                          <w:rPr>
                            <w:noProof/>
                            <w:color w:val="767171" w:themeColor="background2" w:themeShade="80"/>
                            <w:sz w:val="20"/>
                            <w:szCs w:val="20"/>
                          </w:rPr>
                          <w:t>5</w:t>
                        </w:r>
                        <w:r w:rsidRPr="001F61C6"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9033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91" w:rsidRDefault="00636091" w:rsidP="001C13E5">
      <w:pPr>
        <w:spacing w:after="0" w:line="240" w:lineRule="auto"/>
      </w:pPr>
      <w:r>
        <w:separator/>
      </w:r>
    </w:p>
  </w:footnote>
  <w:footnote w:type="continuationSeparator" w:id="0">
    <w:p w:rsidR="00636091" w:rsidRDefault="00636091" w:rsidP="001C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CB" w:rsidRDefault="00786DC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0CBC8699" wp14:editId="378452E1">
          <wp:simplePos x="0" y="0"/>
          <wp:positionH relativeFrom="column">
            <wp:posOffset>-906145</wp:posOffset>
          </wp:positionH>
          <wp:positionV relativeFrom="page">
            <wp:posOffset>-30756</wp:posOffset>
          </wp:positionV>
          <wp:extent cx="7562215" cy="10464800"/>
          <wp:effectExtent l="0" t="0" r="635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Memorandum_zav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4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6C5D86" wp14:editId="5A4CCB13">
              <wp:simplePos x="0" y="0"/>
              <wp:positionH relativeFrom="column">
                <wp:posOffset>3806027</wp:posOffset>
              </wp:positionH>
              <wp:positionV relativeFrom="paragraph">
                <wp:posOffset>46414</wp:posOffset>
              </wp:positionV>
              <wp:extent cx="0" cy="652130"/>
              <wp:effectExtent l="0" t="0" r="19050" b="3429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5213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2958A3" id="Ravni poveznik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3.65pt" to="299.7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17793C" wp14:editId="5292CAC3">
              <wp:simplePos x="0" y="0"/>
              <wp:positionH relativeFrom="column">
                <wp:posOffset>4244975</wp:posOffset>
              </wp:positionH>
              <wp:positionV relativeFrom="paragraph">
                <wp:posOffset>170653</wp:posOffset>
              </wp:positionV>
              <wp:extent cx="2360930" cy="1404620"/>
              <wp:effectExtent l="0" t="0" r="8890" b="190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CB" w:rsidRPr="001C13E5" w:rsidRDefault="00786DCB" w:rsidP="001C13E5">
                          <w:pPr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17793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34.25pt;margin-top:13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" stroked="f">
              <v:textbox style="mso-fit-shape-to-text:t">
                <w:txbxContent>
                  <w:p w:rsidR="00786DCB" w:rsidRPr="001C13E5" w:rsidRDefault="00786DCB" w:rsidP="001C13E5">
                    <w:pPr>
                      <w:rPr>
                        <w:color w:val="767171" w:themeColor="background2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CB" w:rsidRDefault="00786DCB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59BEB64" wp14:editId="19A20969">
              <wp:simplePos x="0" y="0"/>
              <wp:positionH relativeFrom="column">
                <wp:posOffset>3679190</wp:posOffset>
              </wp:positionH>
              <wp:positionV relativeFrom="paragraph">
                <wp:posOffset>129053</wp:posOffset>
              </wp:positionV>
              <wp:extent cx="2360930" cy="1404620"/>
              <wp:effectExtent l="0" t="0" r="8890" b="1905"/>
              <wp:wrapSquare wrapText="bothSides"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CB" w:rsidRPr="001C13E5" w:rsidRDefault="00786DCB" w:rsidP="003014F8">
                          <w:pPr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9BEB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9.7pt;margin-top:10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" stroked="f">
              <v:textbox style="mso-fit-shape-to-text:t">
                <w:txbxContent>
                  <w:p w:rsidR="00786DCB" w:rsidRPr="001C13E5" w:rsidRDefault="00786DCB" w:rsidP="003014F8">
                    <w:pPr>
                      <w:rPr>
                        <w:color w:val="767171" w:themeColor="background2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080B15" wp14:editId="3D9DEF55">
              <wp:simplePos x="0" y="0"/>
              <wp:positionH relativeFrom="column">
                <wp:posOffset>3437654</wp:posOffset>
              </wp:positionH>
              <wp:positionV relativeFrom="paragraph">
                <wp:posOffset>58169</wp:posOffset>
              </wp:positionV>
              <wp:extent cx="0" cy="623777"/>
              <wp:effectExtent l="0" t="0" r="19050" b="2413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3777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6A1A13" id="Ravni poveznik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4.6pt" to="270.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" strokecolor="#aeaaaa [2414]" strokeweight=".5pt">
              <v:stroke joinstyle="miter"/>
            </v:lin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2AA648E4" wp14:editId="484712F7">
          <wp:simplePos x="0" y="0"/>
          <wp:positionH relativeFrom="column">
            <wp:posOffset>-893135</wp:posOffset>
          </wp:positionH>
          <wp:positionV relativeFrom="page">
            <wp:posOffset>3175</wp:posOffset>
          </wp:positionV>
          <wp:extent cx="7562215" cy="10680065"/>
          <wp:effectExtent l="0" t="0" r="635" b="6985"/>
          <wp:wrapNone/>
          <wp:docPr id="2" name="Slika 2" descr="01_Memorandum_zav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Memorandum_zav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F8"/>
    <w:multiLevelType w:val="hybridMultilevel"/>
    <w:tmpl w:val="D864EF9C"/>
    <w:lvl w:ilvl="0" w:tplc="1CD22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E34A5"/>
    <w:multiLevelType w:val="hybridMultilevel"/>
    <w:tmpl w:val="15222202"/>
    <w:lvl w:ilvl="0" w:tplc="13E0CE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8615B4"/>
    <w:multiLevelType w:val="hybridMultilevel"/>
    <w:tmpl w:val="6C90596E"/>
    <w:lvl w:ilvl="0" w:tplc="6F5218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b/>
        <w:vertAlign w:val="baseli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1A1977"/>
    <w:multiLevelType w:val="hybridMultilevel"/>
    <w:tmpl w:val="605AB036"/>
    <w:lvl w:ilvl="0" w:tplc="269C79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2143"/>
    <w:multiLevelType w:val="hybridMultilevel"/>
    <w:tmpl w:val="A0B25490"/>
    <w:lvl w:ilvl="0" w:tplc="EC5C23F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5" w15:restartNumberingAfterBreak="0">
    <w:nsid w:val="150D43AF"/>
    <w:multiLevelType w:val="hybridMultilevel"/>
    <w:tmpl w:val="9698C30A"/>
    <w:lvl w:ilvl="0" w:tplc="EC5C2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3A8D"/>
    <w:multiLevelType w:val="hybridMultilevel"/>
    <w:tmpl w:val="05FE6030"/>
    <w:lvl w:ilvl="0" w:tplc="6F5218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C21BE"/>
    <w:multiLevelType w:val="multilevel"/>
    <w:tmpl w:val="D864EF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C0F1E"/>
    <w:multiLevelType w:val="hybridMultilevel"/>
    <w:tmpl w:val="494416C6"/>
    <w:lvl w:ilvl="0" w:tplc="AB2419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ahoma" w:hint="default"/>
      </w:rPr>
    </w:lvl>
    <w:lvl w:ilvl="1" w:tplc="041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274960AB"/>
    <w:multiLevelType w:val="hybridMultilevel"/>
    <w:tmpl w:val="7092225A"/>
    <w:lvl w:ilvl="0" w:tplc="BFCC96D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6391F"/>
    <w:multiLevelType w:val="hybridMultilevel"/>
    <w:tmpl w:val="3FF03276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1F98"/>
    <w:multiLevelType w:val="hybridMultilevel"/>
    <w:tmpl w:val="9D428F52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E7D30"/>
    <w:multiLevelType w:val="hybridMultilevel"/>
    <w:tmpl w:val="C2826F1A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581A"/>
    <w:multiLevelType w:val="hybridMultilevel"/>
    <w:tmpl w:val="333ABB6E"/>
    <w:lvl w:ilvl="0" w:tplc="B874E92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39EF53B3"/>
    <w:multiLevelType w:val="hybridMultilevel"/>
    <w:tmpl w:val="8DFC67BE"/>
    <w:lvl w:ilvl="0" w:tplc="EC5C23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44AB"/>
    <w:multiLevelType w:val="hybridMultilevel"/>
    <w:tmpl w:val="47365914"/>
    <w:lvl w:ilvl="0" w:tplc="B874E92A">
      <w:start w:val="1"/>
      <w:numFmt w:val="bullet"/>
      <w:lvlText w:val="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7512F"/>
    <w:multiLevelType w:val="hybridMultilevel"/>
    <w:tmpl w:val="7D24697A"/>
    <w:lvl w:ilvl="0" w:tplc="E08E29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F26707"/>
    <w:multiLevelType w:val="hybridMultilevel"/>
    <w:tmpl w:val="A0820362"/>
    <w:lvl w:ilvl="0" w:tplc="AB2419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52DF0132"/>
    <w:multiLevelType w:val="hybridMultilevel"/>
    <w:tmpl w:val="01E878CC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1B9E"/>
    <w:multiLevelType w:val="hybridMultilevel"/>
    <w:tmpl w:val="7BD075F8"/>
    <w:lvl w:ilvl="0" w:tplc="269C79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37BB4"/>
    <w:multiLevelType w:val="hybridMultilevel"/>
    <w:tmpl w:val="03FC2258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75030"/>
    <w:multiLevelType w:val="hybridMultilevel"/>
    <w:tmpl w:val="3A7AE212"/>
    <w:lvl w:ilvl="0" w:tplc="B874E92A">
      <w:start w:val="1"/>
      <w:numFmt w:val="bullet"/>
      <w:lvlText w:val="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57A28"/>
    <w:multiLevelType w:val="hybridMultilevel"/>
    <w:tmpl w:val="39EA0F84"/>
    <w:lvl w:ilvl="0" w:tplc="AB2419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792B2E52"/>
    <w:multiLevelType w:val="hybridMultilevel"/>
    <w:tmpl w:val="554E2944"/>
    <w:lvl w:ilvl="0" w:tplc="1CD22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6"/>
  </w:num>
  <w:num w:numId="5">
    <w:abstractNumId w:val="23"/>
  </w:num>
  <w:num w:numId="6">
    <w:abstractNumId w:val="0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20"/>
  </w:num>
  <w:num w:numId="12">
    <w:abstractNumId w:val="2"/>
  </w:num>
  <w:num w:numId="13">
    <w:abstractNumId w:val="6"/>
  </w:num>
  <w:num w:numId="14">
    <w:abstractNumId w:val="11"/>
  </w:num>
  <w:num w:numId="15">
    <w:abstractNumId w:val="18"/>
  </w:num>
  <w:num w:numId="16">
    <w:abstractNumId w:val="21"/>
  </w:num>
  <w:num w:numId="17">
    <w:abstractNumId w:val="1"/>
  </w:num>
  <w:num w:numId="18">
    <w:abstractNumId w:val="10"/>
  </w:num>
  <w:num w:numId="19">
    <w:abstractNumId w:val="19"/>
  </w:num>
  <w:num w:numId="20">
    <w:abstractNumId w:val="14"/>
  </w:num>
  <w:num w:numId="21">
    <w:abstractNumId w:val="3"/>
  </w:num>
  <w:num w:numId="22">
    <w:abstractNumId w:val="4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5"/>
    <w:rsid w:val="0009370A"/>
    <w:rsid w:val="00097FA4"/>
    <w:rsid w:val="000A016A"/>
    <w:rsid w:val="000C1C30"/>
    <w:rsid w:val="000F6498"/>
    <w:rsid w:val="00122C5F"/>
    <w:rsid w:val="00124580"/>
    <w:rsid w:val="00136EB1"/>
    <w:rsid w:val="00164FEE"/>
    <w:rsid w:val="00185CDE"/>
    <w:rsid w:val="00191100"/>
    <w:rsid w:val="001A5206"/>
    <w:rsid w:val="001B4177"/>
    <w:rsid w:val="001C13E5"/>
    <w:rsid w:val="001C1A70"/>
    <w:rsid w:val="001D474C"/>
    <w:rsid w:val="001F61C6"/>
    <w:rsid w:val="002238E2"/>
    <w:rsid w:val="00236025"/>
    <w:rsid w:val="002A657F"/>
    <w:rsid w:val="002B1F35"/>
    <w:rsid w:val="002D0822"/>
    <w:rsid w:val="002D1F50"/>
    <w:rsid w:val="003014F8"/>
    <w:rsid w:val="003054D1"/>
    <w:rsid w:val="00307F38"/>
    <w:rsid w:val="00322819"/>
    <w:rsid w:val="0033500F"/>
    <w:rsid w:val="0034032A"/>
    <w:rsid w:val="00397B53"/>
    <w:rsid w:val="00397BBF"/>
    <w:rsid w:val="003A7DB2"/>
    <w:rsid w:val="003B7116"/>
    <w:rsid w:val="003E6EAF"/>
    <w:rsid w:val="00423A50"/>
    <w:rsid w:val="00424A1D"/>
    <w:rsid w:val="004321F7"/>
    <w:rsid w:val="00437C97"/>
    <w:rsid w:val="00442521"/>
    <w:rsid w:val="00444D07"/>
    <w:rsid w:val="00455D29"/>
    <w:rsid w:val="00466BC2"/>
    <w:rsid w:val="004911B1"/>
    <w:rsid w:val="004F0124"/>
    <w:rsid w:val="00512A5A"/>
    <w:rsid w:val="005244CA"/>
    <w:rsid w:val="00530AB3"/>
    <w:rsid w:val="00532BF2"/>
    <w:rsid w:val="00556A9F"/>
    <w:rsid w:val="00594F92"/>
    <w:rsid w:val="005978AE"/>
    <w:rsid w:val="005A08C4"/>
    <w:rsid w:val="005A2BBB"/>
    <w:rsid w:val="005E231A"/>
    <w:rsid w:val="005E58F6"/>
    <w:rsid w:val="00600BAA"/>
    <w:rsid w:val="00636091"/>
    <w:rsid w:val="006419D9"/>
    <w:rsid w:val="00646570"/>
    <w:rsid w:val="006535FD"/>
    <w:rsid w:val="00680FC3"/>
    <w:rsid w:val="006B5FF9"/>
    <w:rsid w:val="006D3FFE"/>
    <w:rsid w:val="006D4192"/>
    <w:rsid w:val="006E2293"/>
    <w:rsid w:val="0074404C"/>
    <w:rsid w:val="00786DCB"/>
    <w:rsid w:val="00793210"/>
    <w:rsid w:val="007A6263"/>
    <w:rsid w:val="0080389D"/>
    <w:rsid w:val="00832869"/>
    <w:rsid w:val="00841CAC"/>
    <w:rsid w:val="0084389C"/>
    <w:rsid w:val="008469CA"/>
    <w:rsid w:val="00881E63"/>
    <w:rsid w:val="008A20D7"/>
    <w:rsid w:val="008B11B0"/>
    <w:rsid w:val="008B2E68"/>
    <w:rsid w:val="008C09F4"/>
    <w:rsid w:val="008E37ED"/>
    <w:rsid w:val="00903171"/>
    <w:rsid w:val="00912282"/>
    <w:rsid w:val="009361F8"/>
    <w:rsid w:val="00943CD2"/>
    <w:rsid w:val="0096376C"/>
    <w:rsid w:val="00987363"/>
    <w:rsid w:val="00990F9F"/>
    <w:rsid w:val="009A317C"/>
    <w:rsid w:val="009C1797"/>
    <w:rsid w:val="00A17F97"/>
    <w:rsid w:val="00A47000"/>
    <w:rsid w:val="00A6346B"/>
    <w:rsid w:val="00A86769"/>
    <w:rsid w:val="00A92D2B"/>
    <w:rsid w:val="00AA1964"/>
    <w:rsid w:val="00AF65FD"/>
    <w:rsid w:val="00B44E69"/>
    <w:rsid w:val="00B47921"/>
    <w:rsid w:val="00B75604"/>
    <w:rsid w:val="00BC3DC2"/>
    <w:rsid w:val="00C22D33"/>
    <w:rsid w:val="00C369EA"/>
    <w:rsid w:val="00C41646"/>
    <w:rsid w:val="00C63FBE"/>
    <w:rsid w:val="00C67B62"/>
    <w:rsid w:val="00C92BE6"/>
    <w:rsid w:val="00C97BA5"/>
    <w:rsid w:val="00CD13E3"/>
    <w:rsid w:val="00CE089A"/>
    <w:rsid w:val="00CF13A0"/>
    <w:rsid w:val="00CF1A9D"/>
    <w:rsid w:val="00D03CB6"/>
    <w:rsid w:val="00D35F9B"/>
    <w:rsid w:val="00D46E09"/>
    <w:rsid w:val="00D51915"/>
    <w:rsid w:val="00D82ECF"/>
    <w:rsid w:val="00D90260"/>
    <w:rsid w:val="00D9152A"/>
    <w:rsid w:val="00E466B1"/>
    <w:rsid w:val="00E76954"/>
    <w:rsid w:val="00E9052A"/>
    <w:rsid w:val="00EB61A5"/>
    <w:rsid w:val="00ED2AB1"/>
    <w:rsid w:val="00EE2A79"/>
    <w:rsid w:val="00EF6558"/>
    <w:rsid w:val="00F13B1A"/>
    <w:rsid w:val="00F253BE"/>
    <w:rsid w:val="00F3345A"/>
    <w:rsid w:val="00F45479"/>
    <w:rsid w:val="00F541A3"/>
    <w:rsid w:val="00F7159C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10E06-B545-4411-BE4D-8D8F6403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3E5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1C13E5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1C13E5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C13E5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C13E5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C13E5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1C13E5"/>
    <w:p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1C13E5"/>
    <w:p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1C13E5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03CB6"/>
    <w:rPr>
      <w:rFonts w:asciiTheme="minorHAnsi" w:hAnsiTheme="minorHAnsi"/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1C1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E5"/>
  </w:style>
  <w:style w:type="paragraph" w:styleId="Footer">
    <w:name w:val="footer"/>
    <w:basedOn w:val="Normal"/>
    <w:link w:val="FooterChar"/>
    <w:uiPriority w:val="99"/>
    <w:unhideWhenUsed/>
    <w:rsid w:val="001C1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E5"/>
  </w:style>
  <w:style w:type="character" w:customStyle="1" w:styleId="Heading1Char">
    <w:name w:val="Heading 1 Char"/>
    <w:basedOn w:val="DefaultParagraphFont"/>
    <w:link w:val="Heading1"/>
    <w:rsid w:val="001C13E5"/>
    <w:rPr>
      <w:rFonts w:ascii="Cambria" w:eastAsia="Times New Roman" w:hAnsi="Cambria" w:cs="Times New Roman"/>
      <w:smallCaps/>
      <w:spacing w:val="5"/>
      <w:sz w:val="36"/>
      <w:szCs w:val="36"/>
      <w:lang w:eastAsia="hr-HR"/>
    </w:rPr>
  </w:style>
  <w:style w:type="character" w:customStyle="1" w:styleId="Heading2Char">
    <w:name w:val="Heading 2 Char"/>
    <w:basedOn w:val="DefaultParagraphFont"/>
    <w:link w:val="Heading2"/>
    <w:rsid w:val="001C13E5"/>
    <w:rPr>
      <w:rFonts w:ascii="Cambria" w:eastAsia="Times New Roman" w:hAnsi="Cambria" w:cs="Times New Roman"/>
      <w:smallCap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1C13E5"/>
    <w:rPr>
      <w:rFonts w:ascii="Cambria" w:eastAsia="Times New Roman" w:hAnsi="Cambria" w:cs="Times New Roman"/>
      <w:i/>
      <w:iCs/>
      <w:smallCaps/>
      <w:spacing w:val="5"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1C13E5"/>
    <w:rPr>
      <w:rFonts w:ascii="Cambria" w:eastAsia="Times New Roman" w:hAnsi="Cambria" w:cs="Times New Roman"/>
      <w:b/>
      <w:bCs/>
      <w:spacing w:val="5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1C13E5"/>
    <w:rPr>
      <w:rFonts w:ascii="Cambria" w:eastAsia="Times New Roman" w:hAnsi="Cambria" w:cs="Times New Roman"/>
      <w:i/>
      <w:iCs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C13E5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eastAsia="hr-HR"/>
    </w:rPr>
  </w:style>
  <w:style w:type="character" w:customStyle="1" w:styleId="Heading7Char">
    <w:name w:val="Heading 7 Char"/>
    <w:basedOn w:val="DefaultParagraphFont"/>
    <w:link w:val="Heading7"/>
    <w:rsid w:val="001C13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1C13E5"/>
    <w:rPr>
      <w:rFonts w:ascii="Cambria" w:eastAsia="Times New Roman" w:hAnsi="Cambria" w:cs="Times New Roman"/>
      <w:b/>
      <w:bCs/>
      <w:color w:val="7F7F7F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rsid w:val="001C13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hr-HR"/>
    </w:rPr>
  </w:style>
  <w:style w:type="character" w:styleId="Hyperlink">
    <w:name w:val="Hyperlink"/>
    <w:uiPriority w:val="99"/>
    <w:rsid w:val="001C13E5"/>
    <w:rPr>
      <w:color w:val="0000FF"/>
      <w:u w:val="single"/>
    </w:rPr>
  </w:style>
  <w:style w:type="table" w:styleId="TableGrid">
    <w:name w:val="Table Grid"/>
    <w:basedOn w:val="TableNormal"/>
    <w:rsid w:val="001C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Base">
    <w:name w:val="Header Base"/>
    <w:basedOn w:val="BodyText"/>
    <w:rsid w:val="001C13E5"/>
    <w:pPr>
      <w:keepLines/>
      <w:tabs>
        <w:tab w:val="center" w:pos="4320"/>
        <w:tab w:val="right" w:pos="8640"/>
      </w:tabs>
      <w:spacing w:after="0" w:line="240" w:lineRule="atLeast"/>
      <w:ind w:firstLine="360"/>
      <w:jc w:val="both"/>
    </w:pPr>
    <w:rPr>
      <w:rFonts w:ascii="Garamond" w:hAnsi="Garamond"/>
      <w:sz w:val="22"/>
      <w:szCs w:val="20"/>
      <w:lang w:val="en-AU"/>
    </w:rPr>
  </w:style>
  <w:style w:type="paragraph" w:styleId="BodyText">
    <w:name w:val="Body Text"/>
    <w:basedOn w:val="Normal"/>
    <w:link w:val="BodyTextChar"/>
    <w:rsid w:val="001C13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C13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C13E5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E5"/>
    <w:rPr>
      <w:rFonts w:ascii="Tahoma" w:eastAsia="Times New Roman" w:hAnsi="Tahoma" w:cs="Tahoma"/>
      <w:sz w:val="16"/>
      <w:szCs w:val="16"/>
      <w:lang w:eastAsia="hr-HR"/>
    </w:rPr>
  </w:style>
  <w:style w:type="table" w:styleId="TableGrid1">
    <w:name w:val="Table Grid 1"/>
    <w:basedOn w:val="TableNormal"/>
    <w:rsid w:val="001C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C13E5"/>
  </w:style>
  <w:style w:type="table" w:styleId="TableWeb3">
    <w:name w:val="Table Web 3"/>
    <w:basedOn w:val="TableNormal"/>
    <w:rsid w:val="001C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C13E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C13E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C13E5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1C13E5"/>
    <w:rPr>
      <w:rFonts w:ascii="Cambria" w:eastAsia="Times New Roman" w:hAnsi="Cambria" w:cs="Times New Roman"/>
      <w:smallCaps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qFormat/>
    <w:rsid w:val="001C13E5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eastAsia="hr-HR"/>
    </w:rPr>
  </w:style>
  <w:style w:type="character" w:customStyle="1" w:styleId="SubtitleChar">
    <w:name w:val="Subtitle Char"/>
    <w:basedOn w:val="DefaultParagraphFont"/>
    <w:link w:val="Subtitle"/>
    <w:rsid w:val="001C13E5"/>
    <w:rPr>
      <w:rFonts w:ascii="Cambria" w:eastAsia="Times New Roman" w:hAnsi="Cambria" w:cs="Times New Roman"/>
      <w:i/>
      <w:iCs/>
      <w:smallCaps/>
      <w:spacing w:val="10"/>
      <w:sz w:val="28"/>
      <w:szCs w:val="28"/>
      <w:lang w:eastAsia="hr-HR"/>
    </w:rPr>
  </w:style>
  <w:style w:type="character" w:styleId="Emphasis">
    <w:name w:val="Emphasis"/>
    <w:qFormat/>
    <w:rsid w:val="001C13E5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C13E5"/>
    <w:pPr>
      <w:spacing w:after="0" w:line="240" w:lineRule="auto"/>
    </w:pPr>
    <w:rPr>
      <w:rFonts w:ascii="Cambria" w:eastAsia="Times New Roman" w:hAnsi="Cambria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1C13E5"/>
    <w:rPr>
      <w:rFonts w:ascii="Cambria" w:eastAsia="Times New Roman" w:hAnsi="Cambria" w:cs="Times New Roman"/>
      <w:lang w:eastAsia="hr-HR"/>
    </w:rPr>
  </w:style>
  <w:style w:type="paragraph" w:styleId="ListParagraph">
    <w:name w:val="List Paragraph"/>
    <w:basedOn w:val="Normal"/>
    <w:qFormat/>
    <w:rsid w:val="001C13E5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eastAsia="hr-HR"/>
    </w:rPr>
  </w:style>
  <w:style w:type="paragraph" w:styleId="Quote">
    <w:name w:val="Quote"/>
    <w:basedOn w:val="Normal"/>
    <w:next w:val="Normal"/>
    <w:link w:val="QuoteChar"/>
    <w:qFormat/>
    <w:rsid w:val="001C13E5"/>
    <w:pPr>
      <w:spacing w:after="200" w:line="276" w:lineRule="auto"/>
    </w:pPr>
    <w:rPr>
      <w:rFonts w:ascii="Cambria" w:eastAsia="Times New Roman" w:hAnsi="Cambria" w:cs="Times New Roman"/>
      <w:i/>
      <w:iCs/>
      <w:lang w:eastAsia="hr-HR"/>
    </w:rPr>
  </w:style>
  <w:style w:type="character" w:customStyle="1" w:styleId="QuoteChar">
    <w:name w:val="Quote Char"/>
    <w:basedOn w:val="DefaultParagraphFont"/>
    <w:link w:val="Quote"/>
    <w:rsid w:val="001C13E5"/>
    <w:rPr>
      <w:rFonts w:ascii="Cambria" w:eastAsia="Times New Roman" w:hAnsi="Cambria" w:cs="Times New Roman"/>
      <w:i/>
      <w:iCs/>
      <w:lang w:eastAsia="hr-HR"/>
    </w:rPr>
  </w:style>
  <w:style w:type="paragraph" w:styleId="IntenseQuote">
    <w:name w:val="Intense Quote"/>
    <w:basedOn w:val="Normal"/>
    <w:next w:val="Normal"/>
    <w:link w:val="IntenseQuoteChar"/>
    <w:qFormat/>
    <w:rsid w:val="001C13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eastAsia="hr-HR"/>
    </w:rPr>
  </w:style>
  <w:style w:type="character" w:customStyle="1" w:styleId="IntenseQuoteChar">
    <w:name w:val="Intense Quote Char"/>
    <w:basedOn w:val="DefaultParagraphFont"/>
    <w:link w:val="IntenseQuote"/>
    <w:rsid w:val="001C13E5"/>
    <w:rPr>
      <w:rFonts w:ascii="Cambria" w:eastAsia="Times New Roman" w:hAnsi="Cambria" w:cs="Times New Roman"/>
      <w:i/>
      <w:iCs/>
      <w:lang w:eastAsia="hr-HR"/>
    </w:rPr>
  </w:style>
  <w:style w:type="character" w:styleId="SubtleEmphasis">
    <w:name w:val="Subtle Emphasis"/>
    <w:qFormat/>
    <w:rsid w:val="001C13E5"/>
    <w:rPr>
      <w:i/>
      <w:iCs/>
    </w:rPr>
  </w:style>
  <w:style w:type="character" w:styleId="IntenseEmphasis">
    <w:name w:val="Intense Emphasis"/>
    <w:qFormat/>
    <w:rsid w:val="001C13E5"/>
    <w:rPr>
      <w:b/>
      <w:bCs/>
      <w:i/>
      <w:iCs/>
    </w:rPr>
  </w:style>
  <w:style w:type="character" w:styleId="SubtleReference">
    <w:name w:val="Subtle Reference"/>
    <w:qFormat/>
    <w:rsid w:val="001C13E5"/>
    <w:rPr>
      <w:smallCaps/>
    </w:rPr>
  </w:style>
  <w:style w:type="character" w:styleId="IntenseReference">
    <w:name w:val="Intense Reference"/>
    <w:qFormat/>
    <w:rsid w:val="001C13E5"/>
    <w:rPr>
      <w:b/>
      <w:bCs/>
      <w:smallCaps/>
    </w:rPr>
  </w:style>
  <w:style w:type="character" w:styleId="BookTitle">
    <w:name w:val="Book Title"/>
    <w:qFormat/>
    <w:rsid w:val="001C13E5"/>
    <w:rPr>
      <w:i/>
      <w:iCs/>
      <w:smallCaps/>
      <w:spacing w:val="5"/>
    </w:rPr>
  </w:style>
  <w:style w:type="paragraph" w:styleId="TOC1">
    <w:name w:val="toc 1"/>
    <w:basedOn w:val="Normal"/>
    <w:next w:val="Normal"/>
    <w:autoRedefine/>
    <w:unhideWhenUsed/>
    <w:rsid w:val="001C13E5"/>
    <w:pPr>
      <w:spacing w:after="200" w:line="276" w:lineRule="auto"/>
    </w:pPr>
    <w:rPr>
      <w:rFonts w:ascii="Cambria" w:eastAsia="Times New Roman" w:hAnsi="Cambria" w:cs="Times New Roman"/>
      <w:lang w:eastAsia="hr-HR"/>
    </w:rPr>
  </w:style>
  <w:style w:type="paragraph" w:styleId="TOC2">
    <w:name w:val="toc 2"/>
    <w:basedOn w:val="Normal"/>
    <w:next w:val="Normal"/>
    <w:autoRedefine/>
    <w:unhideWhenUsed/>
    <w:rsid w:val="001C13E5"/>
    <w:pPr>
      <w:spacing w:after="200" w:line="276" w:lineRule="auto"/>
      <w:ind w:left="220"/>
    </w:pPr>
    <w:rPr>
      <w:rFonts w:ascii="Cambria" w:eastAsia="Times New Roman" w:hAnsi="Cambria" w:cs="Times New Roman"/>
      <w:lang w:eastAsia="hr-HR"/>
    </w:rPr>
  </w:style>
  <w:style w:type="paragraph" w:customStyle="1" w:styleId="xl65">
    <w:name w:val="xl65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68">
    <w:name w:val="xl68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i/>
      <w:iCs/>
      <w:sz w:val="24"/>
      <w:szCs w:val="24"/>
      <w:lang w:eastAsia="hr-HR"/>
    </w:rPr>
  </w:style>
  <w:style w:type="paragraph" w:customStyle="1" w:styleId="xl71">
    <w:name w:val="xl71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76">
    <w:name w:val="xl76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77">
    <w:name w:val="xl77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78">
    <w:name w:val="xl78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1C13E5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0">
    <w:name w:val="xl80"/>
    <w:basedOn w:val="Normal"/>
    <w:rsid w:val="001C13E5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1">
    <w:name w:val="xl81"/>
    <w:basedOn w:val="Normal"/>
    <w:rsid w:val="001C13E5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2">
    <w:name w:val="xl82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3">
    <w:name w:val="xl83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5">
    <w:name w:val="xl85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7">
    <w:name w:val="xl87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91">
    <w:name w:val="xl91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1C13E5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93">
    <w:name w:val="xl93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98">
    <w:name w:val="xl98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1C13E5"/>
    <w:pPr>
      <w:pBdr>
        <w:top w:val="double" w:sz="6" w:space="0" w:color="auto"/>
        <w:bottom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1C13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1C13E5"/>
    <w:pPr>
      <w:pBdr>
        <w:top w:val="single" w:sz="4" w:space="0" w:color="auto"/>
        <w:left w:val="double" w:sz="6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1C13E5"/>
    <w:pPr>
      <w:pBdr>
        <w:top w:val="single" w:sz="4" w:space="0" w:color="auto"/>
        <w:lef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1C13E5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1C13E5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7">
    <w:name w:val="xl107"/>
    <w:basedOn w:val="Normal"/>
    <w:rsid w:val="001C13E5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i/>
      <w:iCs/>
      <w:sz w:val="24"/>
      <w:szCs w:val="24"/>
      <w:lang w:eastAsia="hr-HR"/>
    </w:rPr>
  </w:style>
  <w:style w:type="paragraph" w:customStyle="1" w:styleId="xl112">
    <w:name w:val="xl112"/>
    <w:basedOn w:val="Normal"/>
    <w:rsid w:val="001C13E5"/>
    <w:pPr>
      <w:pBdr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1C13E5"/>
    <w:pPr>
      <w:pBdr>
        <w:top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1C13E5"/>
    <w:pPr>
      <w:pBdr>
        <w:top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1C13E5"/>
    <w:pPr>
      <w:pBdr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1C1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117">
    <w:name w:val="xl117"/>
    <w:basedOn w:val="Normal"/>
    <w:rsid w:val="001C13E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1C13E5"/>
    <w:pPr>
      <w:pBdr>
        <w:top w:val="single" w:sz="4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1C13E5"/>
    <w:pPr>
      <w:pBdr>
        <w:top w:val="single" w:sz="4" w:space="0" w:color="auto"/>
        <w:bottom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1C13E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1C13E5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1C13E5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3">
    <w:name w:val="xl123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1C13E5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126">
    <w:name w:val="xl126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8">
    <w:name w:val="xl128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130">
    <w:name w:val="xl130"/>
    <w:basedOn w:val="Normal"/>
    <w:rsid w:val="001C13E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character" w:styleId="CommentReference">
    <w:name w:val="annotation reference"/>
    <w:rsid w:val="001C1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3E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3E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3E5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uiPriority w:val="99"/>
    <w:unhideWhenUsed/>
    <w:rsid w:val="001C13E5"/>
    <w:rPr>
      <w:color w:val="954F72"/>
      <w:u w:val="single"/>
    </w:rPr>
  </w:style>
  <w:style w:type="character" w:styleId="PageNumber">
    <w:name w:val="page number"/>
    <w:basedOn w:val="DefaultParagraphFont"/>
    <w:rsid w:val="0078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E7AE-0784-4529-B900-71DD775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2750</Words>
  <Characters>15681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Grbić</dc:creator>
  <cp:keywords/>
  <dc:description/>
  <cp:lastModifiedBy>Ana Mikuš</cp:lastModifiedBy>
  <cp:revision>3</cp:revision>
  <cp:lastPrinted>2016-02-01T08:23:00Z</cp:lastPrinted>
  <dcterms:created xsi:type="dcterms:W3CDTF">2016-02-01T10:48:00Z</dcterms:created>
  <dcterms:modified xsi:type="dcterms:W3CDTF">2016-02-01T10:48:00Z</dcterms:modified>
</cp:coreProperties>
</file>